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F62A68">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b/>
          <w:bCs/>
          <w:color w:val="auto"/>
          <w:sz w:val="30"/>
          <w:szCs w:val="30"/>
          <w:lang w:val="hr-HR"/>
        </w:rPr>
      </w:pPr>
      <w:r>
        <w:rPr>
          <w:rFonts w:hint="eastAsia"/>
          <w:b/>
          <w:bCs/>
          <w:color w:val="auto"/>
          <w:sz w:val="30"/>
          <w:szCs w:val="30"/>
          <w:lang w:val="hr-HR"/>
        </w:rPr>
        <w:t>黄冈师范学院校园共享吹风机服务项目</w:t>
      </w:r>
    </w:p>
    <w:p w14:paraId="5B69580B">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b/>
          <w:bCs/>
          <w:color w:val="auto"/>
          <w:sz w:val="30"/>
          <w:szCs w:val="30"/>
          <w:lang w:val="en-US" w:eastAsia="zh-CN"/>
        </w:rPr>
      </w:pPr>
      <w:r>
        <w:rPr>
          <w:rFonts w:hint="eastAsia"/>
          <w:b/>
          <w:bCs/>
          <w:color w:val="auto"/>
          <w:sz w:val="30"/>
          <w:szCs w:val="30"/>
          <w:lang w:val="en-US" w:eastAsia="zh-CN"/>
        </w:rPr>
        <w:t>更正公告</w:t>
      </w:r>
    </w:p>
    <w:p w14:paraId="4A127A6B">
      <w:pPr>
        <w:rPr>
          <w:rFonts w:hint="eastAsia"/>
          <w:b/>
          <w:bCs/>
          <w:sz w:val="32"/>
          <w:szCs w:val="32"/>
          <w:lang w:val="en-US" w:eastAsia="zh-CN"/>
        </w:rPr>
      </w:pPr>
      <w:bookmarkStart w:id="6" w:name="_GoBack"/>
      <w:bookmarkEnd w:id="6"/>
      <w:r>
        <w:rPr>
          <w:rFonts w:hint="eastAsia"/>
          <w:b/>
          <w:bCs/>
          <w:sz w:val="32"/>
          <w:szCs w:val="32"/>
          <w:lang w:val="en-US" w:eastAsia="zh-CN"/>
        </w:rPr>
        <w:t>附件1：</w:t>
      </w:r>
    </w:p>
    <w:p w14:paraId="27B0363D">
      <w:pPr>
        <w:pStyle w:val="2"/>
      </w:pPr>
      <w:bookmarkStart w:id="0" w:name="_Toc15124"/>
      <w:r>
        <w:rPr>
          <w:rFonts w:hint="eastAsia"/>
        </w:rPr>
        <w:t>第四章 采购内容及要求</w:t>
      </w:r>
      <w:bookmarkEnd w:id="0"/>
    </w:p>
    <w:p w14:paraId="77A0527F">
      <w:pPr>
        <w:keepNext w:val="0"/>
        <w:keepLines w:val="0"/>
        <w:pageBreakBefore w:val="0"/>
        <w:kinsoku/>
        <w:wordWrap/>
        <w:overflowPunct/>
        <w:topLinePunct w:val="0"/>
        <w:bidi w:val="0"/>
        <w:spacing w:line="460" w:lineRule="exact"/>
        <w:ind w:firstLine="562" w:firstLineChars="200"/>
        <w:textAlignment w:val="auto"/>
        <w:rPr>
          <w:rFonts w:ascii="宋体" w:hAnsi="宋体" w:cs="宋体"/>
          <w:b/>
          <w:bCs/>
          <w:sz w:val="28"/>
          <w:szCs w:val="28"/>
        </w:rPr>
      </w:pPr>
      <w:r>
        <w:rPr>
          <w:rFonts w:hint="eastAsia" w:ascii="宋体" w:hAnsi="宋体" w:cs="宋体"/>
          <w:b/>
          <w:bCs/>
          <w:sz w:val="28"/>
          <w:szCs w:val="28"/>
        </w:rPr>
        <w:t>一、项目概况</w:t>
      </w:r>
    </w:p>
    <w:p w14:paraId="15DBCD15">
      <w:pPr>
        <w:keepNext w:val="0"/>
        <w:keepLines w:val="0"/>
        <w:pageBreakBefore w:val="0"/>
        <w:kinsoku/>
        <w:wordWrap/>
        <w:overflowPunct/>
        <w:topLinePunct w:val="0"/>
        <w:bidi w:val="0"/>
        <w:spacing w:line="460" w:lineRule="exact"/>
        <w:ind w:firstLine="560" w:firstLineChars="200"/>
        <w:textAlignment w:val="auto"/>
        <w:rPr>
          <w:rFonts w:hint="eastAsia" w:ascii="宋体" w:hAnsi="宋体" w:eastAsia="宋体" w:cs="宋体"/>
          <w:color w:val="auto"/>
          <w:sz w:val="28"/>
          <w:szCs w:val="28"/>
        </w:rPr>
      </w:pPr>
      <w:r>
        <w:rPr>
          <w:rFonts w:hint="eastAsia" w:ascii="宋体" w:hAnsi="宋体" w:eastAsia="宋体" w:cs="宋体"/>
          <w:sz w:val="28"/>
          <w:szCs w:val="28"/>
        </w:rPr>
        <w:t>黄冈师范学院南北校区共有37栋学生公寓，服务在校生20000余人。为满足学生生活需求、推进智慧校园建设、实现节能降耗，后勤集团准备通过公开</w:t>
      </w:r>
      <w:r>
        <w:rPr>
          <w:rFonts w:hint="eastAsia" w:ascii="宋体" w:hAnsi="宋体" w:cs="宋体"/>
          <w:sz w:val="28"/>
          <w:szCs w:val="28"/>
          <w:lang w:val="en-US" w:eastAsia="zh-CN"/>
        </w:rPr>
        <w:t>选取</w:t>
      </w:r>
      <w:r>
        <w:rPr>
          <w:rFonts w:hint="eastAsia" w:ascii="宋体" w:hAnsi="宋体" w:eastAsia="宋体" w:cs="宋体"/>
          <w:color w:val="auto"/>
          <w:sz w:val="28"/>
          <w:szCs w:val="28"/>
          <w:lang w:val="en-US" w:eastAsia="zh-CN"/>
        </w:rPr>
        <w:t>具备持续节能降耗能力与标准化运维服务体系的运营商，保障3至5年运营期内设备安全稳定运行、用电指标可控、学生服务体验优良。</w:t>
      </w:r>
    </w:p>
    <w:p w14:paraId="31161F1C">
      <w:pPr>
        <w:keepNext w:val="0"/>
        <w:keepLines w:val="0"/>
        <w:pageBreakBefore w:val="0"/>
        <w:kinsoku/>
        <w:wordWrap/>
        <w:overflowPunct/>
        <w:topLinePunct w:val="0"/>
        <w:bidi w:val="0"/>
        <w:spacing w:line="460" w:lineRule="exact"/>
        <w:ind w:firstLine="562" w:firstLineChars="200"/>
        <w:textAlignment w:val="auto"/>
        <w:rPr>
          <w:rFonts w:ascii="宋体" w:hAnsi="宋体" w:cs="宋体"/>
          <w:b/>
          <w:bCs/>
          <w:color w:val="auto"/>
          <w:sz w:val="28"/>
          <w:szCs w:val="28"/>
        </w:rPr>
      </w:pPr>
      <w:r>
        <w:rPr>
          <w:rFonts w:hint="eastAsia" w:ascii="宋体" w:hAnsi="宋体" w:cs="宋体"/>
          <w:b/>
          <w:bCs/>
          <w:color w:val="auto"/>
          <w:sz w:val="28"/>
          <w:szCs w:val="28"/>
        </w:rPr>
        <w:t>二、合作模式与资产权归属</w:t>
      </w:r>
    </w:p>
    <w:p w14:paraId="3F796F8D">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1、投资建设</w:t>
      </w:r>
      <w:r>
        <w:rPr>
          <w:rFonts w:hint="eastAsia" w:ascii="宋体" w:hAnsi="宋体" w:cs="宋体"/>
          <w:sz w:val="28"/>
          <w:szCs w:val="28"/>
        </w:rPr>
        <w:tab/>
      </w:r>
    </w:p>
    <w:p w14:paraId="285E75ED">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成交供应商全额承担约600台吹风机（功率1200W-1600W）的采购、线路铺设及配套设施建设费用。覆盖紫园、柳园、荷园、兰园共37栋宿舍楼（含兰园12栋），具体数量可根据实际需求调整。</w:t>
      </w:r>
    </w:p>
    <w:p w14:paraId="063EE8F1">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2、运营管理</w:t>
      </w:r>
    </w:p>
    <w:p w14:paraId="79C928C7">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经营期内，成交供应商自主经营、自负盈亏，须配备驻校管理员及专业售后团队（至少配备1名长期驻校现场管理人员），不得开展与该项目无关的商业活动。</w:t>
      </w:r>
    </w:p>
    <w:p w14:paraId="18EC51DA">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3、期满处置</w:t>
      </w:r>
    </w:p>
    <w:p w14:paraId="39667C64">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合作经营期满后，成交供应商须无条件退场。墙面附着电线、管线、空开等设施无偿归学校所有，其他可移动设备归成交供应商所有，由成交供应商自行拆除清运出场。</w:t>
      </w:r>
    </w:p>
    <w:p w14:paraId="4F4995C0">
      <w:pPr>
        <w:keepNext w:val="0"/>
        <w:keepLines w:val="0"/>
        <w:pageBreakBefore w:val="0"/>
        <w:kinsoku/>
        <w:wordWrap/>
        <w:overflowPunct/>
        <w:topLinePunct w:val="0"/>
        <w:bidi w:val="0"/>
        <w:spacing w:line="460" w:lineRule="exact"/>
        <w:ind w:firstLine="562" w:firstLineChars="200"/>
        <w:textAlignment w:val="auto"/>
        <w:rPr>
          <w:rFonts w:ascii="宋体" w:hAnsi="宋体" w:cs="宋体"/>
          <w:b/>
          <w:bCs/>
          <w:sz w:val="28"/>
          <w:szCs w:val="28"/>
        </w:rPr>
      </w:pPr>
      <w:r>
        <w:rPr>
          <w:rFonts w:hint="eastAsia" w:ascii="宋体" w:hAnsi="宋体" w:cs="宋体"/>
          <w:b/>
          <w:bCs/>
          <w:sz w:val="28"/>
          <w:szCs w:val="28"/>
        </w:rPr>
        <w:t>三、设备与安装规范</w:t>
      </w:r>
    </w:p>
    <w:p w14:paraId="5C1B9737">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1、设备标准</w:t>
      </w:r>
    </w:p>
    <w:p w14:paraId="2A145074">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（1）本次采购的共享吹风机须为品牌产品，且须具备国家3C强制认证，设备安装调试并检测合格后方可投入使用。</w:t>
      </w:r>
    </w:p>
    <w:p w14:paraId="18FDE098">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（2）安全功能：设备须集成漏电保护、安全卡座、倒计时自动断电、过热保护等多重安全防护功能。</w:t>
      </w:r>
    </w:p>
    <w:p w14:paraId="390E422D">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（3）配套设施：每台设备须配置带安全防护设计的镜子与平板置物架。</w:t>
      </w:r>
    </w:p>
    <w:p w14:paraId="27034396">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（4）支付方式：支持微信/支付宝扫码支付（无需下载APP），按时长计费，不得推送广告。</w:t>
      </w:r>
    </w:p>
    <w:p w14:paraId="4462E69A">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2、安装设计要求</w:t>
      </w:r>
    </w:p>
    <w:p w14:paraId="785987B8">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1）本项目设备投放区域为公共区域，具体安装位置为公寓每层楼，供应商如需现场查勘，请自行前往；进入校区查勘期间，应严格遵守校园和宿舍管理规章制度，严格服从现场人员安排；如出现自身或造成他人人身伤害或财产损失等全部由供应商自行承担。供应商需按照国家标准及相关行业标准同时结合本项目实际情况及自身经营情况作出合理的项目方案。</w:t>
      </w:r>
    </w:p>
    <w:p w14:paraId="09FFE527">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2）为确保工程施工安全、规范、如期完工，供应商需制定详细的施工及安全管理方案，工程质量标准必须符合国家相关行业规范。线路铺设采用全封闭处理（如PVC套管等方式），杜绝线头外露；须单独设置接地线，不得混用校方现有地线；设备安装位置距地面高度不得低于1米，安装过程中不得破坏墙体结构，不得占用消防通道；每栋楼需分别安装总电表与总空气开关，每一组吹风机均须配置独立的漏电保护装置。</w:t>
      </w:r>
    </w:p>
    <w:p w14:paraId="52755F2D">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3）本项目由成交供应商于合作期限内承担全部投资，包括设计、建设、运营、维护等。所投设备必须为全新、合格、未开封产品，不得采用二手或翻新产品，如发现直接取消成交资格或解除合同并依法追究违约责任。</w:t>
      </w:r>
    </w:p>
    <w:p w14:paraId="23C84AF4">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4）成交供应商需确保项目安全施工、文明施工，施工过程中不得损坏学校相关设备设施，如有损坏应负责修复或照价赔偿；因成交供应商的工作人员、施工人员存在过失，或因成交供应商提供及布设的相关设备设施引发财产损失或安全事故，全部责任由成交供应商承担。</w:t>
      </w:r>
    </w:p>
    <w:p w14:paraId="2E99EC02">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（5）施工期限：成交供应商需在2026年8月28日前完成所有设备的安装及调试，并通过校方验收合格，确保2026年秋季开学前能正常投入使用。</w:t>
      </w:r>
    </w:p>
    <w:p w14:paraId="7C6EC0AE">
      <w:pPr>
        <w:keepNext w:val="0"/>
        <w:keepLines w:val="0"/>
        <w:pageBreakBefore w:val="0"/>
        <w:kinsoku/>
        <w:wordWrap/>
        <w:overflowPunct/>
        <w:topLinePunct w:val="0"/>
        <w:bidi w:val="0"/>
        <w:spacing w:line="460" w:lineRule="exact"/>
        <w:ind w:firstLine="562" w:firstLineChars="200"/>
        <w:textAlignment w:val="auto"/>
        <w:rPr>
          <w:rFonts w:ascii="宋体" w:hAnsi="宋体" w:cs="宋体"/>
          <w:b/>
          <w:bCs/>
          <w:sz w:val="28"/>
          <w:szCs w:val="28"/>
          <w:highlight w:val="yellow"/>
        </w:rPr>
      </w:pPr>
      <w:r>
        <w:rPr>
          <w:rFonts w:hint="eastAsia" w:ascii="宋体" w:hAnsi="宋体" w:cs="宋体"/>
          <w:b/>
          <w:bCs/>
          <w:sz w:val="28"/>
          <w:szCs w:val="28"/>
        </w:rPr>
        <w:t>四、设备及平台技术要求</w:t>
      </w:r>
    </w:p>
    <w:p w14:paraId="03347356">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sz w:val="28"/>
          <w:szCs w:val="28"/>
        </w:rPr>
        <w:t>△1、所投吹风机须为品牌商用</w:t>
      </w:r>
      <w:r>
        <w:rPr>
          <w:rFonts w:hint="eastAsia" w:ascii="宋体" w:hAnsi="宋体" w:cs="宋体"/>
          <w:color w:val="auto"/>
          <w:sz w:val="28"/>
          <w:szCs w:val="28"/>
        </w:rPr>
        <w:t>电吹风</w:t>
      </w:r>
      <w:r>
        <w:rPr>
          <w:rFonts w:hint="eastAsia" w:ascii="宋体" w:hAnsi="宋体" w:cs="宋体"/>
          <w:b w:val="0"/>
          <w:bCs w:val="0"/>
          <w:color w:val="auto"/>
          <w:sz w:val="28"/>
          <w:szCs w:val="28"/>
          <w:lang w:eastAsia="zh-CN"/>
        </w:rPr>
        <w:t>（</w:t>
      </w:r>
      <w:r>
        <w:rPr>
          <w:rFonts w:hint="eastAsia" w:ascii="宋体" w:hAnsi="宋体" w:cs="宋体"/>
          <w:b w:val="0"/>
          <w:bCs w:val="0"/>
          <w:color w:val="auto"/>
          <w:sz w:val="28"/>
          <w:szCs w:val="28"/>
        </w:rPr>
        <w:t>提供第三方权威机构检验报告</w:t>
      </w:r>
      <w:r>
        <w:rPr>
          <w:rFonts w:hint="eastAsia" w:ascii="宋体" w:hAnsi="宋体" w:cs="宋体"/>
          <w:b w:val="0"/>
          <w:bCs w:val="0"/>
          <w:color w:val="auto"/>
          <w:sz w:val="28"/>
          <w:szCs w:val="28"/>
          <w:lang w:eastAsia="zh-CN"/>
        </w:rPr>
        <w:t>，</w:t>
      </w:r>
      <w:r>
        <w:rPr>
          <w:rFonts w:hint="eastAsia" w:ascii="宋体" w:hAnsi="宋体" w:cs="宋体"/>
          <w:b w:val="0"/>
          <w:bCs w:val="0"/>
          <w:color w:val="auto"/>
          <w:sz w:val="28"/>
          <w:szCs w:val="28"/>
          <w:lang w:val="en-US" w:eastAsia="zh-CN"/>
        </w:rPr>
        <w:t>或承诺若成为第一成交候选供应商在收到采购人通知后7日内提供</w:t>
      </w:r>
      <w:r>
        <w:rPr>
          <w:rFonts w:hint="eastAsia" w:ascii="宋体" w:hAnsi="宋体" w:cs="宋体"/>
          <w:b w:val="0"/>
          <w:bCs w:val="0"/>
          <w:color w:val="auto"/>
          <w:sz w:val="28"/>
          <w:szCs w:val="28"/>
        </w:rPr>
        <w:t>第三方权威机构检验报告</w:t>
      </w:r>
      <w:r>
        <w:rPr>
          <w:rFonts w:hint="eastAsia" w:ascii="宋体" w:hAnsi="宋体" w:cs="宋体"/>
          <w:b w:val="0"/>
          <w:bCs w:val="0"/>
          <w:color w:val="auto"/>
          <w:sz w:val="28"/>
          <w:szCs w:val="28"/>
          <w:lang w:eastAsia="zh-CN"/>
        </w:rPr>
        <w:t>）</w:t>
      </w:r>
      <w:r>
        <w:rPr>
          <w:rFonts w:hint="eastAsia" w:ascii="宋体" w:hAnsi="宋体" w:cs="宋体"/>
          <w:color w:val="auto"/>
          <w:sz w:val="28"/>
          <w:szCs w:val="28"/>
        </w:rPr>
        <w:t>。</w:t>
      </w:r>
    </w:p>
    <w:p w14:paraId="12CA1AF4">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2、吹风机功能配置：支持高温、中温、冷风3个档位，风量和温度采用独立开关控制，电源线采用弹簧拉伸式。</w:t>
      </w:r>
    </w:p>
    <w:p w14:paraId="6260C694">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3、吹风机功率与电压：额定功率范围为1200-1600W，额定电压AC220V。</w:t>
      </w:r>
    </w:p>
    <w:p w14:paraId="3641C13C">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△4</w:t>
      </w:r>
      <w:r>
        <w:rPr>
          <w:rFonts w:hint="eastAsia" w:ascii="宋体" w:hAnsi="宋体" w:cs="宋体"/>
          <w:color w:val="auto"/>
          <w:sz w:val="28"/>
          <w:szCs w:val="28"/>
          <w:lang w:eastAsia="zh-CN"/>
        </w:rPr>
        <w:t>、</w:t>
      </w:r>
      <w:r>
        <w:rPr>
          <w:rFonts w:hint="eastAsia" w:ascii="宋体" w:hAnsi="宋体" w:cs="宋体"/>
          <w:color w:val="auto"/>
          <w:sz w:val="28"/>
          <w:szCs w:val="28"/>
        </w:rPr>
        <w:t>安全性能：</w:t>
      </w:r>
      <w:bookmarkStart w:id="1" w:name="OLE_LINK1"/>
      <w:bookmarkStart w:id="2" w:name="OLE_LINK2"/>
      <w:r>
        <w:rPr>
          <w:rFonts w:hint="eastAsia" w:ascii="宋体" w:hAnsi="宋体" w:cs="宋体"/>
          <w:color w:val="auto"/>
          <w:sz w:val="28"/>
          <w:szCs w:val="28"/>
        </w:rPr>
        <w:t>吹风机安全性能体系须符合国家标准</w:t>
      </w:r>
      <w:bookmarkStart w:id="3" w:name="OLE_LINK5"/>
      <w:bookmarkStart w:id="4" w:name="OLE_LINK6"/>
      <w:r>
        <w:rPr>
          <w:rFonts w:hint="eastAsia" w:ascii="宋体" w:hAnsi="宋体" w:cs="宋体"/>
          <w:color w:val="auto"/>
          <w:sz w:val="28"/>
          <w:szCs w:val="28"/>
        </w:rPr>
        <w:t>GB</w:t>
      </w:r>
      <w:r>
        <w:rPr>
          <w:rFonts w:ascii="宋体" w:hAnsi="宋体" w:cs="宋体"/>
          <w:color w:val="auto"/>
          <w:sz w:val="28"/>
          <w:szCs w:val="28"/>
        </w:rPr>
        <w:t xml:space="preserve"> </w:t>
      </w:r>
      <w:r>
        <w:rPr>
          <w:rFonts w:hint="eastAsia" w:ascii="宋体" w:hAnsi="宋体" w:cs="宋体"/>
          <w:color w:val="auto"/>
          <w:sz w:val="28"/>
          <w:szCs w:val="28"/>
        </w:rPr>
        <w:t>4706.15-2008《家用和类似用途电器的安全皮肤及毛发护理器具的特殊要求》</w:t>
      </w:r>
      <w:bookmarkEnd w:id="1"/>
      <w:bookmarkEnd w:id="2"/>
      <w:bookmarkEnd w:id="3"/>
      <w:bookmarkEnd w:id="4"/>
      <w:r>
        <w:rPr>
          <w:rFonts w:hint="eastAsia" w:ascii="宋体" w:hAnsi="宋体" w:cs="宋体"/>
          <w:color w:val="auto"/>
          <w:sz w:val="28"/>
          <w:szCs w:val="28"/>
        </w:rPr>
        <w:t>，包括但不限于外壳阻燃、过热自动断电、功率稳定，确保防漏电、防过热、防触电等。具备过热保护功能，归位支架断电功能</w:t>
      </w:r>
      <w:r>
        <w:rPr>
          <w:rFonts w:hint="eastAsia" w:ascii="宋体" w:hAnsi="宋体" w:cs="宋体"/>
          <w:b w:val="0"/>
          <w:bCs w:val="0"/>
          <w:color w:val="auto"/>
          <w:sz w:val="28"/>
          <w:szCs w:val="28"/>
          <w:lang w:eastAsia="zh-CN"/>
        </w:rPr>
        <w:t>（</w:t>
      </w:r>
      <w:r>
        <w:rPr>
          <w:rFonts w:hint="eastAsia" w:ascii="宋体" w:hAnsi="宋体" w:cs="宋体"/>
          <w:b w:val="0"/>
          <w:bCs w:val="0"/>
          <w:color w:val="auto"/>
          <w:sz w:val="28"/>
          <w:szCs w:val="28"/>
        </w:rPr>
        <w:t>提供第三方权威机构检验报告</w:t>
      </w:r>
      <w:r>
        <w:rPr>
          <w:rFonts w:hint="eastAsia" w:ascii="宋体" w:hAnsi="宋体" w:cs="宋体"/>
          <w:b w:val="0"/>
          <w:bCs w:val="0"/>
          <w:color w:val="auto"/>
          <w:sz w:val="28"/>
          <w:szCs w:val="28"/>
          <w:lang w:eastAsia="zh-CN"/>
        </w:rPr>
        <w:t>，</w:t>
      </w:r>
      <w:r>
        <w:rPr>
          <w:rFonts w:hint="eastAsia" w:ascii="宋体" w:hAnsi="宋体" w:cs="宋体"/>
          <w:b w:val="0"/>
          <w:bCs w:val="0"/>
          <w:color w:val="auto"/>
          <w:sz w:val="28"/>
          <w:szCs w:val="28"/>
          <w:lang w:val="en-US" w:eastAsia="zh-CN"/>
        </w:rPr>
        <w:t>或承诺若成为第一成交候选供应商在收到采购人通知后7日内提供</w:t>
      </w:r>
      <w:r>
        <w:rPr>
          <w:rFonts w:hint="eastAsia" w:ascii="宋体" w:hAnsi="宋体" w:cs="宋体"/>
          <w:b w:val="0"/>
          <w:bCs w:val="0"/>
          <w:color w:val="auto"/>
          <w:sz w:val="28"/>
          <w:szCs w:val="28"/>
        </w:rPr>
        <w:t>第三方权威机构检验报告</w:t>
      </w:r>
      <w:r>
        <w:rPr>
          <w:rFonts w:hint="eastAsia" w:ascii="宋体" w:hAnsi="宋体" w:cs="宋体"/>
          <w:b w:val="0"/>
          <w:bCs w:val="0"/>
          <w:color w:val="auto"/>
          <w:sz w:val="28"/>
          <w:szCs w:val="28"/>
          <w:lang w:eastAsia="zh-CN"/>
        </w:rPr>
        <w:t>）</w:t>
      </w:r>
      <w:r>
        <w:rPr>
          <w:rFonts w:hint="eastAsia" w:ascii="宋体" w:hAnsi="宋体" w:cs="宋体"/>
          <w:color w:val="auto"/>
          <w:sz w:val="28"/>
          <w:szCs w:val="28"/>
        </w:rPr>
        <w:t>。</w:t>
      </w:r>
    </w:p>
    <w:p w14:paraId="4CD488FF">
      <w:pPr>
        <w:keepNext w:val="0"/>
        <w:keepLines w:val="0"/>
        <w:pageBreakBefore w:val="0"/>
        <w:kinsoku/>
        <w:wordWrap/>
        <w:overflowPunct/>
        <w:topLinePunct w:val="0"/>
        <w:bidi w:val="0"/>
        <w:spacing w:line="460" w:lineRule="exact"/>
        <w:ind w:firstLine="560" w:firstLineChars="200"/>
        <w:textAlignment w:val="auto"/>
        <w:rPr>
          <w:rFonts w:hint="eastAsia" w:ascii="宋体" w:hAnsi="宋体" w:cs="宋体"/>
          <w:b w:val="0"/>
          <w:bCs w:val="0"/>
          <w:color w:val="auto"/>
          <w:sz w:val="28"/>
          <w:szCs w:val="28"/>
          <w:lang w:eastAsia="zh-CN"/>
        </w:rPr>
      </w:pPr>
      <w:r>
        <w:rPr>
          <w:rFonts w:hint="eastAsia" w:ascii="宋体" w:hAnsi="宋体" w:cs="宋体"/>
          <w:color w:val="auto"/>
          <w:sz w:val="28"/>
          <w:szCs w:val="28"/>
        </w:rPr>
        <w:t>△5、降噪设计：设备需采取降噪措施，工作时噪音≤65分贝</w:t>
      </w:r>
      <w:r>
        <w:rPr>
          <w:rFonts w:hint="eastAsia" w:ascii="宋体" w:hAnsi="宋体" w:cs="宋体"/>
          <w:b w:val="0"/>
          <w:bCs w:val="0"/>
          <w:color w:val="auto"/>
          <w:sz w:val="28"/>
          <w:szCs w:val="28"/>
          <w:lang w:eastAsia="zh-CN"/>
        </w:rPr>
        <w:t>（</w:t>
      </w:r>
      <w:r>
        <w:rPr>
          <w:rFonts w:hint="eastAsia" w:ascii="宋体" w:hAnsi="宋体" w:cs="宋体"/>
          <w:b w:val="0"/>
          <w:bCs w:val="0"/>
          <w:color w:val="auto"/>
          <w:sz w:val="28"/>
          <w:szCs w:val="28"/>
        </w:rPr>
        <w:t>提供第三方权威机构检验报告</w:t>
      </w:r>
      <w:r>
        <w:rPr>
          <w:rFonts w:hint="eastAsia" w:ascii="宋体" w:hAnsi="宋体" w:cs="宋体"/>
          <w:b w:val="0"/>
          <w:bCs w:val="0"/>
          <w:color w:val="auto"/>
          <w:sz w:val="28"/>
          <w:szCs w:val="28"/>
          <w:lang w:eastAsia="zh-CN"/>
        </w:rPr>
        <w:t>，</w:t>
      </w:r>
      <w:r>
        <w:rPr>
          <w:rFonts w:hint="eastAsia" w:ascii="宋体" w:hAnsi="宋体" w:cs="宋体"/>
          <w:b w:val="0"/>
          <w:bCs w:val="0"/>
          <w:color w:val="auto"/>
          <w:sz w:val="28"/>
          <w:szCs w:val="28"/>
          <w:lang w:val="en-US" w:eastAsia="zh-CN"/>
        </w:rPr>
        <w:t>或承诺若成为第一成交候选供应商在收到采购人通知后7日内提供</w:t>
      </w:r>
      <w:r>
        <w:rPr>
          <w:rFonts w:hint="eastAsia" w:ascii="宋体" w:hAnsi="宋体" w:cs="宋体"/>
          <w:b w:val="0"/>
          <w:bCs w:val="0"/>
          <w:color w:val="auto"/>
          <w:sz w:val="28"/>
          <w:szCs w:val="28"/>
        </w:rPr>
        <w:t>第三方权威机构检验报告</w:t>
      </w:r>
      <w:r>
        <w:rPr>
          <w:rFonts w:hint="eastAsia" w:ascii="宋体" w:hAnsi="宋体" w:cs="宋体"/>
          <w:b w:val="0"/>
          <w:bCs w:val="0"/>
          <w:color w:val="auto"/>
          <w:sz w:val="28"/>
          <w:szCs w:val="28"/>
          <w:lang w:eastAsia="zh-CN"/>
        </w:rPr>
        <w:t>）</w:t>
      </w:r>
      <w:r>
        <w:rPr>
          <w:rFonts w:hint="eastAsia" w:ascii="宋体" w:hAnsi="宋体" w:cs="宋体"/>
          <w:color w:val="auto"/>
          <w:sz w:val="28"/>
          <w:szCs w:val="28"/>
        </w:rPr>
        <w:t>。</w:t>
      </w:r>
    </w:p>
    <w:p w14:paraId="6715EF54">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△6、显示屏与使用便捷性：本机小程序二维码与设备二维码合二为一，搭载彩色液晶显示屏，无需下载配套APP</w:t>
      </w:r>
      <w:r>
        <w:rPr>
          <w:rFonts w:hint="eastAsia" w:ascii="宋体" w:hAnsi="宋体" w:cs="宋体"/>
          <w:color w:val="auto"/>
          <w:sz w:val="28"/>
          <w:szCs w:val="28"/>
          <w:lang w:eastAsia="zh-CN"/>
        </w:rPr>
        <w:t>，</w:t>
      </w:r>
      <w:r>
        <w:rPr>
          <w:rFonts w:hint="eastAsia" w:ascii="宋体" w:hAnsi="宋体" w:cs="宋体"/>
          <w:color w:val="auto"/>
          <w:sz w:val="28"/>
          <w:szCs w:val="28"/>
        </w:rPr>
        <w:t>可</w:t>
      </w:r>
      <w:r>
        <w:rPr>
          <w:rFonts w:hint="eastAsia" w:ascii="宋体" w:hAnsi="宋体" w:cs="宋体"/>
          <w:color w:val="auto"/>
          <w:sz w:val="28"/>
          <w:szCs w:val="28"/>
          <w:lang w:val="en-US" w:eastAsia="zh-CN"/>
        </w:rPr>
        <w:t>直接用</w:t>
      </w:r>
      <w:r>
        <w:rPr>
          <w:rFonts w:hint="eastAsia" w:ascii="宋体" w:hAnsi="宋体" w:cs="宋体"/>
          <w:color w:val="auto"/>
          <w:sz w:val="28"/>
          <w:szCs w:val="28"/>
        </w:rPr>
        <w:t>微信或支付宝</w:t>
      </w:r>
      <w:r>
        <w:rPr>
          <w:rFonts w:hint="eastAsia" w:ascii="宋体" w:hAnsi="宋体" w:cs="宋体"/>
          <w:color w:val="auto"/>
          <w:sz w:val="28"/>
          <w:szCs w:val="28"/>
          <w:lang w:val="en-US" w:eastAsia="zh-CN"/>
        </w:rPr>
        <w:t>扫码</w:t>
      </w:r>
      <w:r>
        <w:rPr>
          <w:rFonts w:hint="eastAsia" w:ascii="宋体" w:hAnsi="宋体" w:cs="宋体"/>
          <w:color w:val="auto"/>
          <w:sz w:val="28"/>
          <w:szCs w:val="28"/>
        </w:rPr>
        <w:t>使用（</w:t>
      </w:r>
      <w:r>
        <w:rPr>
          <w:rFonts w:hint="eastAsia" w:ascii="宋体" w:hAnsi="宋体" w:eastAsia="宋体" w:cs="宋体"/>
          <w:color w:val="auto"/>
          <w:sz w:val="28"/>
          <w:szCs w:val="28"/>
          <w:lang w:val="en-US" w:eastAsia="zh-CN"/>
        </w:rPr>
        <w:t>提供供应商加盖公章的承诺函</w:t>
      </w:r>
      <w:r>
        <w:rPr>
          <w:rFonts w:hint="eastAsia" w:ascii="宋体" w:hAnsi="宋体" w:eastAsia="宋体" w:cs="宋体"/>
          <w:color w:val="auto"/>
          <w:sz w:val="28"/>
          <w:szCs w:val="28"/>
        </w:rPr>
        <w:t>）</w:t>
      </w:r>
      <w:r>
        <w:rPr>
          <w:rFonts w:hint="eastAsia" w:ascii="宋体" w:hAnsi="宋体" w:cs="宋体"/>
          <w:color w:val="auto"/>
          <w:sz w:val="28"/>
          <w:szCs w:val="28"/>
        </w:rPr>
        <w:t>。</w:t>
      </w:r>
    </w:p>
    <w:p w14:paraId="29241280">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7、支付与计费：支持微信或支付宝支付，按时计费。</w:t>
      </w:r>
    </w:p>
    <w:p w14:paraId="110F09DD">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8、配套设施：成交供应商应主动提供如置物架等可服务学生的其他配套设施设备。</w:t>
      </w:r>
    </w:p>
    <w:p w14:paraId="32EA7A9C">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△9、产品责任险：本项目所供吹风机具有产品责任险，责任险额不低于100万元人民币（</w:t>
      </w:r>
      <w:r>
        <w:rPr>
          <w:rFonts w:hint="eastAsia" w:ascii="宋体" w:hAnsi="宋体" w:eastAsia="宋体" w:cs="宋体"/>
          <w:color w:val="auto"/>
          <w:sz w:val="28"/>
          <w:szCs w:val="28"/>
        </w:rPr>
        <w:t>提供</w:t>
      </w:r>
      <w:r>
        <w:rPr>
          <w:rFonts w:hint="eastAsia" w:ascii="宋体" w:hAnsi="宋体" w:cs="宋体"/>
          <w:color w:val="auto"/>
          <w:sz w:val="28"/>
          <w:szCs w:val="28"/>
          <w:lang w:val="en-US" w:eastAsia="zh-CN"/>
        </w:rPr>
        <w:t>有效期内的</w:t>
      </w:r>
      <w:r>
        <w:rPr>
          <w:rFonts w:hint="eastAsia" w:ascii="宋体" w:hAnsi="宋体" w:eastAsia="宋体" w:cs="宋体"/>
          <w:color w:val="auto"/>
          <w:sz w:val="28"/>
          <w:szCs w:val="28"/>
        </w:rPr>
        <w:t>产品责任险保单复印件</w:t>
      </w:r>
      <w:r>
        <w:rPr>
          <w:rFonts w:hint="eastAsia" w:ascii="宋体" w:hAnsi="宋体" w:cs="宋体"/>
          <w:color w:val="auto"/>
          <w:sz w:val="28"/>
          <w:szCs w:val="28"/>
        </w:rPr>
        <w:t>）。</w:t>
      </w:r>
    </w:p>
    <w:p w14:paraId="7966E4B6">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10、通讯方式：吹风机控制器为4G和蓝牙双通讯，蓝牙连接距离小于10米，数据可实时上传。</w:t>
      </w:r>
    </w:p>
    <w:p w14:paraId="2A6CE3C7">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△11、控制器保护功能：吹风机控制器支持过流、过载、短路、漏电保护功能，达到或超过设定电流时自动断开输出。控制器外壳带接地安全保护</w:t>
      </w:r>
      <w:r>
        <w:rPr>
          <w:rFonts w:hint="eastAsia" w:ascii="宋体" w:hAnsi="宋体" w:cs="宋体"/>
          <w:b w:val="0"/>
          <w:bCs w:val="0"/>
          <w:color w:val="auto"/>
          <w:sz w:val="28"/>
          <w:szCs w:val="28"/>
          <w:lang w:eastAsia="zh-CN"/>
        </w:rPr>
        <w:t>（</w:t>
      </w:r>
      <w:r>
        <w:rPr>
          <w:rFonts w:hint="eastAsia" w:ascii="宋体" w:hAnsi="宋体" w:cs="宋体"/>
          <w:b w:val="0"/>
          <w:bCs w:val="0"/>
          <w:color w:val="auto"/>
          <w:sz w:val="28"/>
          <w:szCs w:val="28"/>
        </w:rPr>
        <w:t>提供第三方权威机构检验报告</w:t>
      </w:r>
      <w:r>
        <w:rPr>
          <w:rFonts w:hint="eastAsia" w:ascii="宋体" w:hAnsi="宋体" w:cs="宋体"/>
          <w:b w:val="0"/>
          <w:bCs w:val="0"/>
          <w:color w:val="auto"/>
          <w:sz w:val="28"/>
          <w:szCs w:val="28"/>
          <w:lang w:eastAsia="zh-CN"/>
        </w:rPr>
        <w:t>，</w:t>
      </w:r>
      <w:r>
        <w:rPr>
          <w:rFonts w:hint="eastAsia" w:ascii="宋体" w:hAnsi="宋体" w:cs="宋体"/>
          <w:b w:val="0"/>
          <w:bCs w:val="0"/>
          <w:color w:val="auto"/>
          <w:sz w:val="28"/>
          <w:szCs w:val="28"/>
          <w:lang w:val="en-US" w:eastAsia="zh-CN"/>
        </w:rPr>
        <w:t>或承诺若成为第一成交候选供应商在收到采购人通知后7日内提供</w:t>
      </w:r>
      <w:r>
        <w:rPr>
          <w:rFonts w:hint="eastAsia" w:ascii="宋体" w:hAnsi="宋体" w:cs="宋体"/>
          <w:b w:val="0"/>
          <w:bCs w:val="0"/>
          <w:color w:val="auto"/>
          <w:sz w:val="28"/>
          <w:szCs w:val="28"/>
        </w:rPr>
        <w:t>第三方权威机构检验报告</w:t>
      </w:r>
      <w:r>
        <w:rPr>
          <w:rFonts w:hint="eastAsia" w:ascii="宋体" w:hAnsi="宋体" w:cs="宋体"/>
          <w:b w:val="0"/>
          <w:bCs w:val="0"/>
          <w:color w:val="auto"/>
          <w:sz w:val="28"/>
          <w:szCs w:val="28"/>
          <w:lang w:eastAsia="zh-CN"/>
        </w:rPr>
        <w:t>）</w:t>
      </w:r>
      <w:r>
        <w:rPr>
          <w:rFonts w:hint="eastAsia" w:ascii="宋体" w:hAnsi="宋体" w:cs="宋体"/>
          <w:color w:val="auto"/>
          <w:sz w:val="28"/>
          <w:szCs w:val="28"/>
        </w:rPr>
        <w:t>。</w:t>
      </w:r>
    </w:p>
    <w:p w14:paraId="1BEC90BC">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12、耐腐蚀性：控制器经过≥700小时乙酸盐雾试验，样品耐腐蚀性能≥10级。</w:t>
      </w:r>
    </w:p>
    <w:p w14:paraId="63F51D55">
      <w:pPr>
        <w:keepNext w:val="0"/>
        <w:keepLines w:val="0"/>
        <w:pageBreakBefore w:val="0"/>
        <w:kinsoku/>
        <w:wordWrap/>
        <w:overflowPunct/>
        <w:topLinePunct w:val="0"/>
        <w:bidi w:val="0"/>
        <w:spacing w:line="460" w:lineRule="exact"/>
        <w:ind w:firstLine="560" w:firstLineChars="200"/>
        <w:textAlignment w:val="auto"/>
        <w:rPr>
          <w:rFonts w:hint="eastAsia" w:ascii="宋体" w:hAnsi="宋体" w:cs="宋体"/>
          <w:color w:val="auto"/>
          <w:sz w:val="28"/>
          <w:szCs w:val="28"/>
          <w:lang w:eastAsia="zh-CN"/>
        </w:rPr>
      </w:pPr>
      <w:r>
        <w:rPr>
          <w:rFonts w:hint="eastAsia" w:ascii="宋体" w:hAnsi="宋体" w:cs="宋体"/>
          <w:color w:val="auto"/>
          <w:sz w:val="28"/>
          <w:szCs w:val="28"/>
        </w:rPr>
        <w:t>13、抗干扰性能：控制器通信协议防干扰，电源干扰，静放电、射频辐射抗扰度、电磁兼容性、抗浪涌、传导射频抗扰度、电压暂降/中断、电快速瞬变脉冲群均符合GB/T17626系列标准</w:t>
      </w:r>
      <w:r>
        <w:rPr>
          <w:rFonts w:hint="eastAsia" w:ascii="宋体" w:hAnsi="宋体" w:cs="宋体"/>
          <w:color w:val="auto"/>
          <w:sz w:val="28"/>
          <w:szCs w:val="28"/>
          <w:lang w:eastAsia="zh-CN"/>
        </w:rPr>
        <w:t>。</w:t>
      </w:r>
    </w:p>
    <w:p w14:paraId="491C20B8">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14、在线升级：利用4G网络，在后台设置可一键升级设备硬件程序。</w:t>
      </w:r>
    </w:p>
    <w:p w14:paraId="3250A764">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△15、教育备案：系统管理平台须具备教育移动互联网应用程序备案，并获得备案号，提供教育备案网站查询截图证明资料。</w:t>
      </w:r>
    </w:p>
    <w:p w14:paraId="2CC0CB06">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16、消费平台功能：经营投放的吹风机消费平台支持微信或支付宝扫码消费，消费金额进入服务商指定专用账户。该平台应充分保障学生切身利益，安全系数高，且满足基本的消费、查询、报修、意见反馈、退费等功能。（</w:t>
      </w:r>
      <w:r>
        <w:rPr>
          <w:rFonts w:hint="eastAsia" w:ascii="宋体" w:hAnsi="宋体" w:eastAsia="宋体" w:cs="宋体"/>
          <w:color w:val="auto"/>
          <w:sz w:val="28"/>
          <w:szCs w:val="28"/>
          <w:lang w:val="en-US" w:eastAsia="zh-CN"/>
        </w:rPr>
        <w:t>提供供应商加盖公章的承诺函</w:t>
      </w:r>
      <w:r>
        <w:rPr>
          <w:rFonts w:hint="eastAsia" w:ascii="宋体" w:hAnsi="宋体" w:eastAsia="宋体" w:cs="宋体"/>
          <w:color w:val="auto"/>
          <w:sz w:val="28"/>
          <w:szCs w:val="28"/>
        </w:rPr>
        <w:t>）</w:t>
      </w:r>
    </w:p>
    <w:p w14:paraId="4FDC9BB4">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17、报表功能：系统能统计消费报表，并可按明细、汇总形式输出。</w:t>
      </w:r>
    </w:p>
    <w:p w14:paraId="2D23B57A">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18、消费信息管理：每项每笔消费结束均产生账单，消费数据清晰，便于查询。</w:t>
      </w:r>
    </w:p>
    <w:p w14:paraId="766BCBF3">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19、设备管理功能：系统支持通过手机端远程查看设备状态及使用状态。</w:t>
      </w:r>
    </w:p>
    <w:p w14:paraId="5334CB7F">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20、数据安全功能：消费流水数据不会丢失，系统数据库具有自动备份功能。</w:t>
      </w:r>
    </w:p>
    <w:p w14:paraId="5455BC1C">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21、操作员权限与日志管理：系统操作员设置严格的操作权限与操作范围，对重要的系统操作日志具备审计、查询功能。</w:t>
      </w:r>
    </w:p>
    <w:p w14:paraId="623E7139">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22、故障报修功能：学生可通过系统实现故障报修功能，故障信息能及时传递给后台管理员。</w:t>
      </w:r>
    </w:p>
    <w:p w14:paraId="069A55C6">
      <w:pPr>
        <w:keepNext w:val="0"/>
        <w:keepLines w:val="0"/>
        <w:pageBreakBefore w:val="0"/>
        <w:kinsoku/>
        <w:wordWrap/>
        <w:overflowPunct/>
        <w:topLinePunct w:val="0"/>
        <w:bidi w:val="0"/>
        <w:spacing w:line="460" w:lineRule="exact"/>
        <w:ind w:firstLine="560" w:firstLineChars="200"/>
        <w:textAlignment w:val="auto"/>
        <w:rPr>
          <w:rFonts w:hint="eastAsia" w:ascii="宋体" w:hAnsi="宋体" w:cs="宋体"/>
          <w:color w:val="auto"/>
          <w:sz w:val="28"/>
          <w:szCs w:val="28"/>
        </w:rPr>
      </w:pPr>
      <w:r>
        <w:rPr>
          <w:rFonts w:hint="eastAsia" w:ascii="宋体" w:hAnsi="宋体" w:cs="宋体"/>
          <w:color w:val="auto"/>
          <w:sz w:val="28"/>
          <w:szCs w:val="28"/>
        </w:rPr>
        <w:t>△23、软件著作权：吹风机系统管理平台具备计算机软件著作权登记证书（提供计算机软件著作权登记证书</w:t>
      </w:r>
      <w:r>
        <w:rPr>
          <w:rFonts w:hint="eastAsia" w:ascii="宋体" w:hAnsi="宋体" w:cs="宋体"/>
          <w:color w:val="auto"/>
          <w:sz w:val="28"/>
          <w:szCs w:val="28"/>
          <w:lang w:val="en-US" w:eastAsia="zh-CN"/>
        </w:rPr>
        <w:t>复印件加盖供应商公章</w:t>
      </w:r>
      <w:r>
        <w:rPr>
          <w:rFonts w:hint="eastAsia" w:ascii="宋体" w:hAnsi="宋体" w:cs="宋体"/>
          <w:color w:val="auto"/>
          <w:sz w:val="28"/>
          <w:szCs w:val="28"/>
        </w:rPr>
        <w:t>）。</w:t>
      </w:r>
    </w:p>
    <w:p w14:paraId="1CE4BAC7">
      <w:pPr>
        <w:keepNext w:val="0"/>
        <w:keepLines w:val="0"/>
        <w:pageBreakBefore w:val="0"/>
        <w:kinsoku/>
        <w:wordWrap/>
        <w:overflowPunct/>
        <w:topLinePunct w:val="0"/>
        <w:bidi w:val="0"/>
        <w:spacing w:line="460" w:lineRule="exact"/>
        <w:ind w:firstLine="562" w:firstLineChars="200"/>
        <w:textAlignment w:val="auto"/>
        <w:rPr>
          <w:rFonts w:ascii="宋体" w:hAnsi="宋体" w:cs="宋体"/>
          <w:b/>
          <w:bCs/>
          <w:color w:val="auto"/>
          <w:sz w:val="28"/>
          <w:szCs w:val="28"/>
        </w:rPr>
      </w:pPr>
      <w:r>
        <w:rPr>
          <w:rFonts w:hint="eastAsia" w:ascii="宋体" w:hAnsi="宋体" w:cs="宋体"/>
          <w:b/>
          <w:bCs/>
          <w:color w:val="auto"/>
          <w:sz w:val="28"/>
          <w:szCs w:val="28"/>
        </w:rPr>
        <w:t>五、运维与安全管理</w:t>
      </w:r>
    </w:p>
    <w:p w14:paraId="63DAD204">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1、日常维护</w:t>
      </w:r>
    </w:p>
    <w:p w14:paraId="0528DB68">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（1）消毒保洁：安排专人定期开展清洁消毒工作，及时清理残留毛屑杂物，并对相关工作记录进行公示。</w:t>
      </w:r>
    </w:p>
    <w:p w14:paraId="07247736">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（2）巡检保养：每月全覆盖巡检≥1次，定期清除风扇杂物，检查电源线及漏电保护功能。</w:t>
      </w:r>
    </w:p>
    <w:p w14:paraId="6D227093">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2、故障响应</w:t>
      </w:r>
    </w:p>
    <w:p w14:paraId="6BE8F969">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（1）响应时效：报修后1小时内到场，24小时内完成修复或更换。</w:t>
      </w:r>
    </w:p>
    <w:p w14:paraId="7DF2959A">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（2）备用设备：校内常备≥10台备用机，故障设备优先更换保障使用。</w:t>
      </w:r>
    </w:p>
    <w:p w14:paraId="11334907">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（3）记录追溯：完整留存维修记录，实现故障处理闭环管理。</w:t>
      </w:r>
    </w:p>
    <w:p w14:paraId="78A7B630">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3、安全责任</w:t>
      </w:r>
    </w:p>
    <w:p w14:paraId="5241FD8D">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（1）电费承担：按学校电价预购电费，承担线路损耗。</w:t>
      </w:r>
    </w:p>
    <w:p w14:paraId="1077EF44">
      <w:pPr>
        <w:keepNext w:val="0"/>
        <w:keepLines w:val="0"/>
        <w:pageBreakBefore w:val="0"/>
        <w:kinsoku/>
        <w:wordWrap/>
        <w:overflowPunct/>
        <w:topLinePunct w:val="0"/>
        <w:bidi w:val="0"/>
        <w:spacing w:line="460" w:lineRule="exact"/>
        <w:ind w:firstLine="560" w:firstLineChars="200"/>
        <w:textAlignment w:val="auto"/>
        <w:rPr>
          <w:rFonts w:ascii="宋体" w:hAnsi="宋体" w:cs="宋体"/>
          <w:color w:val="auto"/>
          <w:sz w:val="28"/>
          <w:szCs w:val="28"/>
        </w:rPr>
      </w:pPr>
      <w:r>
        <w:rPr>
          <w:rFonts w:hint="eastAsia" w:ascii="宋体" w:hAnsi="宋体" w:cs="宋体"/>
          <w:color w:val="auto"/>
          <w:sz w:val="28"/>
          <w:szCs w:val="28"/>
        </w:rPr>
        <w:t>（2）风险防控：建立消毒制度并公示记录，因卫生防疫问题引发的事故由成交供应商全权负责。</w:t>
      </w:r>
    </w:p>
    <w:p w14:paraId="2B559441">
      <w:pPr>
        <w:keepNext w:val="0"/>
        <w:keepLines w:val="0"/>
        <w:pageBreakBefore w:val="0"/>
        <w:kinsoku/>
        <w:wordWrap/>
        <w:overflowPunct/>
        <w:topLinePunct w:val="0"/>
        <w:bidi w:val="0"/>
        <w:spacing w:line="460" w:lineRule="exact"/>
        <w:ind w:firstLine="560" w:firstLineChars="200"/>
        <w:textAlignment w:val="auto"/>
        <w:rPr>
          <w:rFonts w:hint="eastAsia" w:ascii="宋体" w:hAnsi="宋体" w:cs="宋体"/>
          <w:b/>
          <w:bCs/>
          <w:sz w:val="28"/>
          <w:szCs w:val="28"/>
        </w:rPr>
      </w:pPr>
      <w:r>
        <w:rPr>
          <w:rFonts w:hint="eastAsia" w:ascii="宋体" w:hAnsi="宋体" w:cs="宋体"/>
          <w:sz w:val="28"/>
          <w:szCs w:val="28"/>
        </w:rPr>
        <w:t>（3）应急预案：制定安全管理制度及应急预案，定期开展安全检查并做好记录。</w:t>
      </w:r>
    </w:p>
    <w:p w14:paraId="3A60A819">
      <w:pPr>
        <w:keepNext w:val="0"/>
        <w:keepLines w:val="0"/>
        <w:pageBreakBefore w:val="0"/>
        <w:kinsoku/>
        <w:wordWrap/>
        <w:overflowPunct/>
        <w:topLinePunct w:val="0"/>
        <w:bidi w:val="0"/>
        <w:spacing w:line="460" w:lineRule="exact"/>
        <w:ind w:firstLine="562" w:firstLineChars="200"/>
        <w:textAlignment w:val="auto"/>
        <w:rPr>
          <w:rFonts w:ascii="宋体" w:hAnsi="宋体" w:cs="宋体"/>
          <w:b/>
          <w:bCs/>
          <w:sz w:val="28"/>
          <w:szCs w:val="28"/>
        </w:rPr>
      </w:pPr>
      <w:r>
        <w:rPr>
          <w:rFonts w:hint="eastAsia" w:ascii="宋体" w:hAnsi="宋体" w:cs="宋体"/>
          <w:b/>
          <w:bCs/>
          <w:sz w:val="28"/>
          <w:szCs w:val="28"/>
        </w:rPr>
        <w:t>六、服务与监管体系</w:t>
      </w:r>
    </w:p>
    <w:p w14:paraId="0EB6C2A1">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1、服务标准</w:t>
      </w:r>
    </w:p>
    <w:p w14:paraId="1E0E5717">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（1）24小时专业团队驻点，负责设备维护、保洁消毒及应急响应。</w:t>
      </w:r>
    </w:p>
    <w:p w14:paraId="6D65F027">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（2）寒暑假及节假日安排值班，每月至少巡检一次设备。</w:t>
      </w:r>
    </w:p>
    <w:p w14:paraId="04FC88D4">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（3）吹风机旁张贴使用说明，每栋楼一楼设置维修检查记录表。</w:t>
      </w:r>
    </w:p>
    <w:p w14:paraId="35BFFB2A">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2、监管机制</w:t>
      </w:r>
    </w:p>
    <w:p w14:paraId="3872216D">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（1）数据开放：向学校开放设备管理平台全部数据权限，接受实时监管。</w:t>
      </w:r>
    </w:p>
    <w:p w14:paraId="35BF454D">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（2）整改权限：校方对安全隐患有权要求成交供应商24小时内完成整改，若逾期未完成整改，校方有权对涉事设备采取断电处置措施。</w:t>
      </w:r>
    </w:p>
    <w:p w14:paraId="06F284B8">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（3）紧急接管：成交供应商严重违约时，校方有权解除合同并无偿收回设备。</w:t>
      </w:r>
    </w:p>
    <w:p w14:paraId="3102D8C4">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3、禁止行为</w:t>
      </w:r>
    </w:p>
    <w:p w14:paraId="67F0793D">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严禁转让经营权、擅自涨价、停业降标，禁止以学校或学校相关名义开展与本项目无关的业务活动。</w:t>
      </w:r>
    </w:p>
    <w:p w14:paraId="7D72CC73">
      <w:pPr>
        <w:keepNext w:val="0"/>
        <w:keepLines w:val="0"/>
        <w:pageBreakBefore w:val="0"/>
        <w:kinsoku/>
        <w:wordWrap/>
        <w:overflowPunct/>
        <w:topLinePunct w:val="0"/>
        <w:bidi w:val="0"/>
        <w:spacing w:line="460" w:lineRule="exact"/>
        <w:ind w:firstLine="562" w:firstLineChars="200"/>
        <w:textAlignment w:val="auto"/>
        <w:rPr>
          <w:rFonts w:ascii="宋体" w:hAnsi="宋体" w:cs="宋体"/>
          <w:b/>
          <w:bCs/>
          <w:sz w:val="28"/>
          <w:szCs w:val="28"/>
        </w:rPr>
      </w:pPr>
      <w:r>
        <w:rPr>
          <w:rFonts w:hint="eastAsia" w:ascii="宋体" w:hAnsi="宋体" w:cs="宋体"/>
          <w:b/>
          <w:bCs/>
          <w:sz w:val="28"/>
          <w:szCs w:val="28"/>
        </w:rPr>
        <w:t>七、商务条款</w:t>
      </w:r>
    </w:p>
    <w:p w14:paraId="369C167C">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1、基本条件</w:t>
      </w:r>
    </w:p>
    <w:p w14:paraId="56DE51F9">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经营期限：3+1+1+1年（第一期合同为期3年，第一期合同期满后，开展考核，若考核通过，可续签1年。以此类推，累计续签最多可达 3 年。）；建设工期：30天；服务地点：南北校区学生宿舍。</w:t>
      </w:r>
    </w:p>
    <w:p w14:paraId="345CF4CF">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2、费用结算</w:t>
      </w:r>
    </w:p>
    <w:p w14:paraId="4A7515F8">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（1）服务收费标准：对学生收费≤0.7元/5分钟。</w:t>
      </w:r>
    </w:p>
    <w:p w14:paraId="4D55C9C1">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（2）场地租赁费标准：学校提供指定的服务场所，并收取场地租赁费。该场地租赁费依据成交供应商实际使用的用电量来收取，收费标准不低于0.8元/度，结算周期为每半年一次。</w:t>
      </w:r>
    </w:p>
    <w:p w14:paraId="08C2C7AF">
      <w:pPr>
        <w:keepNext w:val="0"/>
        <w:keepLines w:val="0"/>
        <w:pageBreakBefore w:val="0"/>
        <w:kinsoku/>
        <w:wordWrap/>
        <w:overflowPunct/>
        <w:topLinePunct w:val="0"/>
        <w:bidi w:val="0"/>
        <w:spacing w:line="460" w:lineRule="exact"/>
        <w:ind w:firstLine="560" w:firstLineChars="200"/>
        <w:textAlignment w:val="auto"/>
        <w:rPr>
          <w:rFonts w:ascii="宋体" w:hAnsi="宋体" w:cs="宋体"/>
          <w:sz w:val="28"/>
          <w:szCs w:val="28"/>
        </w:rPr>
      </w:pPr>
      <w:r>
        <w:rPr>
          <w:rFonts w:hint="eastAsia" w:ascii="宋体" w:hAnsi="宋体" w:cs="宋体"/>
          <w:sz w:val="28"/>
          <w:szCs w:val="28"/>
        </w:rPr>
        <w:t>3、设备款项</w:t>
      </w:r>
    </w:p>
    <w:p w14:paraId="0244944A">
      <w:pPr>
        <w:keepNext w:val="0"/>
        <w:keepLines w:val="0"/>
        <w:pageBreakBefore w:val="0"/>
        <w:kinsoku/>
        <w:wordWrap/>
        <w:overflowPunct/>
        <w:topLinePunct w:val="0"/>
        <w:bidi w:val="0"/>
        <w:spacing w:line="460" w:lineRule="exact"/>
        <w:ind w:firstLine="560" w:firstLineChars="200"/>
        <w:textAlignment w:val="auto"/>
        <w:rPr>
          <w:rFonts w:hint="default" w:ascii="宋体" w:hAnsi="宋体" w:eastAsia="宋体" w:cs="宋体"/>
          <w:color w:val="auto"/>
          <w:sz w:val="28"/>
          <w:szCs w:val="28"/>
          <w:lang w:val="en-US" w:eastAsia="zh-CN"/>
        </w:rPr>
      </w:pPr>
      <w:r>
        <w:rPr>
          <w:rFonts w:hint="eastAsia" w:ascii="宋体" w:hAnsi="宋体" w:cs="宋体"/>
          <w:sz w:val="28"/>
          <w:szCs w:val="28"/>
        </w:rPr>
        <w:t>成交供应商需承担紫宇智能科技（苏州）有</w:t>
      </w:r>
      <w:r>
        <w:rPr>
          <w:rFonts w:hint="eastAsia" w:ascii="宋体" w:hAnsi="宋体" w:cs="宋体"/>
          <w:color w:val="auto"/>
          <w:sz w:val="28"/>
          <w:szCs w:val="28"/>
        </w:rPr>
        <w:t>限公司前期建设折旧的款项20084元（2025年7-8月建设），该款项须在成交结果公告发布后转入指定账户，严禁转嫁给下期成交供应商。</w:t>
      </w:r>
      <w:r>
        <w:rPr>
          <w:rFonts w:hint="eastAsia" w:ascii="宋体" w:hAnsi="宋体" w:cs="宋体"/>
          <w:color w:val="auto"/>
          <w:sz w:val="28"/>
          <w:szCs w:val="28"/>
          <w:lang w:val="en-US" w:eastAsia="zh-CN"/>
        </w:rPr>
        <w:t xml:space="preserve">  </w:t>
      </w:r>
    </w:p>
    <w:p w14:paraId="54203162">
      <w:pPr>
        <w:keepNext w:val="0"/>
        <w:keepLines w:val="0"/>
        <w:pageBreakBefore w:val="0"/>
        <w:kinsoku/>
        <w:wordWrap/>
        <w:overflowPunct/>
        <w:topLinePunct w:val="0"/>
        <w:bidi w:val="0"/>
        <w:spacing w:line="460" w:lineRule="exact"/>
        <w:ind w:right="6" w:firstLine="562" w:firstLineChars="200"/>
        <w:textAlignment w:val="auto"/>
        <w:outlineLvl w:val="1"/>
        <w:rPr>
          <w:rFonts w:ascii="宋体" w:hAnsi="宋体" w:cs="宋体"/>
          <w:b/>
          <w:bCs/>
          <w:sz w:val="28"/>
          <w:szCs w:val="28"/>
        </w:rPr>
      </w:pPr>
      <w:bookmarkStart w:id="5" w:name="_Toc26580"/>
      <w:r>
        <w:rPr>
          <w:rFonts w:hint="eastAsia" w:ascii="宋体" w:hAnsi="宋体" w:cs="宋体"/>
          <w:b/>
          <w:bCs/>
          <w:sz w:val="28"/>
          <w:szCs w:val="28"/>
        </w:rPr>
        <w:t>八、付款方式</w:t>
      </w:r>
      <w:bookmarkEnd w:id="5"/>
    </w:p>
    <w:p w14:paraId="48D7CBD4">
      <w:pPr>
        <w:pStyle w:val="7"/>
        <w:keepNext w:val="0"/>
        <w:keepLines w:val="0"/>
        <w:pageBreakBefore w:val="0"/>
        <w:kinsoku/>
        <w:wordWrap/>
        <w:overflowPunct/>
        <w:topLinePunct w:val="0"/>
        <w:bidi w:val="0"/>
        <w:spacing w:line="460" w:lineRule="exact"/>
        <w:ind w:firstLine="560"/>
        <w:textAlignment w:val="auto"/>
        <w:rPr>
          <w:rFonts w:hAnsi="宋体" w:cs="宋体"/>
          <w:sz w:val="28"/>
          <w:szCs w:val="28"/>
        </w:rPr>
      </w:pPr>
      <w:r>
        <w:rPr>
          <w:rFonts w:hint="eastAsia" w:hAnsi="宋体" w:cs="宋体"/>
          <w:sz w:val="28"/>
          <w:szCs w:val="28"/>
        </w:rPr>
        <w:t>采购人及成交供应商之间的一切费用均以人民币结算及支付。具体付款方式合同中约定。</w:t>
      </w:r>
    </w:p>
    <w:p w14:paraId="30359F3B">
      <w:pPr>
        <w:keepNext w:val="0"/>
        <w:keepLines w:val="0"/>
        <w:pageBreakBefore w:val="0"/>
        <w:kinsoku/>
        <w:wordWrap/>
        <w:overflowPunct/>
        <w:topLinePunct w:val="0"/>
        <w:bidi w:val="0"/>
        <w:spacing w:line="460" w:lineRule="exact"/>
        <w:textAlignment w:val="auto"/>
        <w:rPr>
          <w:rFonts w:ascii="宋体" w:hAnsi="宋体" w:cs="宋体"/>
          <w:sz w:val="28"/>
          <w:szCs w:val="28"/>
        </w:rPr>
      </w:pPr>
      <w:r>
        <w:rPr>
          <w:rFonts w:hint="eastAsia" w:ascii="宋体" w:hAnsi="宋体" w:cs="宋体"/>
          <w:sz w:val="28"/>
          <w:szCs w:val="28"/>
        </w:rPr>
        <w:t xml:space="preserve">    签订合同后，成交供应商须在7个工作日内以银行支票、汇票、银行保函等形式付给采购人运营服务履约保证金5万元，服务期满无问题退场后，无息返还保证金。</w:t>
      </w:r>
    </w:p>
    <w:p w14:paraId="24E4DFAC">
      <w:pPr>
        <w:rPr>
          <w:rFonts w:hint="eastAsia"/>
          <w:b/>
          <w:bCs/>
          <w:sz w:val="32"/>
          <w:szCs w:val="32"/>
          <w:lang w:val="en-US" w:eastAsia="zh-CN"/>
        </w:rPr>
      </w:pPr>
      <w:r>
        <w:rPr>
          <w:rFonts w:hint="eastAsia" w:ascii="宋体" w:hAnsi="宋体" w:cs="宋体"/>
          <w:sz w:val="28"/>
          <w:szCs w:val="28"/>
        </w:rPr>
        <w:t>黄冈师范学院纳税人识别号：12420000420725008U。</w:t>
      </w:r>
    </w:p>
    <w:p w14:paraId="6BFCA4A1">
      <w:pPr>
        <w:rPr>
          <w:rFonts w:hint="eastAsia"/>
          <w:b/>
          <w:bCs/>
          <w:sz w:val="32"/>
          <w:szCs w:val="32"/>
          <w:lang w:val="en-US" w:eastAsia="zh-CN"/>
        </w:rPr>
      </w:pPr>
    </w:p>
    <w:p w14:paraId="0B0C08C1">
      <w:pPr>
        <w:rPr>
          <w:rFonts w:hint="eastAsia"/>
          <w:b/>
          <w:bCs/>
          <w:sz w:val="32"/>
          <w:szCs w:val="32"/>
          <w:lang w:val="en-US" w:eastAsia="zh-CN"/>
        </w:rPr>
      </w:pPr>
    </w:p>
    <w:p w14:paraId="1CEBCAE6">
      <w:pPr>
        <w:rPr>
          <w:rFonts w:hint="eastAsia"/>
          <w:b/>
          <w:bCs/>
          <w:sz w:val="32"/>
          <w:szCs w:val="32"/>
          <w:lang w:val="en-US" w:eastAsia="zh-CN"/>
        </w:rPr>
      </w:pPr>
    </w:p>
    <w:p w14:paraId="5CDE265F">
      <w:pPr>
        <w:rPr>
          <w:rFonts w:hint="eastAsia"/>
          <w:b/>
          <w:bCs/>
          <w:sz w:val="32"/>
          <w:szCs w:val="32"/>
          <w:lang w:val="en-US" w:eastAsia="zh-CN"/>
        </w:rPr>
      </w:pPr>
    </w:p>
    <w:p w14:paraId="1639EF7B">
      <w:pPr>
        <w:rPr>
          <w:rFonts w:hint="eastAsia"/>
          <w:b/>
          <w:bCs/>
          <w:sz w:val="32"/>
          <w:szCs w:val="32"/>
          <w:lang w:val="en-US" w:eastAsia="zh-CN"/>
        </w:rPr>
      </w:pPr>
    </w:p>
    <w:p w14:paraId="0705D788">
      <w:pPr>
        <w:rPr>
          <w:rFonts w:hint="eastAsia"/>
          <w:b/>
          <w:bCs/>
          <w:sz w:val="32"/>
          <w:szCs w:val="32"/>
          <w:lang w:val="en-US" w:eastAsia="zh-CN"/>
        </w:rPr>
      </w:pPr>
      <w:r>
        <w:rPr>
          <w:rFonts w:hint="eastAsia"/>
          <w:b/>
          <w:bCs/>
          <w:sz w:val="32"/>
          <w:szCs w:val="32"/>
          <w:lang w:val="en-US" w:eastAsia="zh-CN"/>
        </w:rPr>
        <w:t>附件2：</w:t>
      </w:r>
    </w:p>
    <w:tbl>
      <w:tblPr>
        <w:tblStyle w:val="5"/>
        <w:tblW w:w="96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0"/>
        <w:gridCol w:w="1378"/>
        <w:gridCol w:w="910"/>
        <w:gridCol w:w="6336"/>
      </w:tblGrid>
      <w:tr w14:paraId="1B6D0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gridSpan w:val="2"/>
          </w:tcPr>
          <w:p w14:paraId="02FDE211">
            <w:pPr>
              <w:spacing w:line="400" w:lineRule="exact"/>
              <w:jc w:val="center"/>
              <w:rPr>
                <w:rFonts w:ascii="宋体" w:hAnsi="宋体" w:cs="宋体"/>
                <w:color w:val="000000"/>
                <w:szCs w:val="21"/>
              </w:rPr>
            </w:pPr>
            <w:r>
              <w:rPr>
                <w:rFonts w:hint="eastAsia" w:ascii="宋体" w:hAnsi="宋体" w:cs="宋体"/>
                <w:color w:val="000000"/>
                <w:szCs w:val="21"/>
              </w:rPr>
              <w:t>评审因素</w:t>
            </w:r>
          </w:p>
        </w:tc>
        <w:tc>
          <w:tcPr>
            <w:tcW w:w="910" w:type="dxa"/>
          </w:tcPr>
          <w:p w14:paraId="293879FD">
            <w:pPr>
              <w:spacing w:line="400" w:lineRule="exact"/>
              <w:jc w:val="center"/>
              <w:rPr>
                <w:rFonts w:ascii="宋体" w:hAnsi="宋体" w:cs="宋体"/>
                <w:color w:val="000000"/>
                <w:szCs w:val="21"/>
              </w:rPr>
            </w:pPr>
            <w:r>
              <w:rPr>
                <w:rFonts w:hint="eastAsia" w:ascii="宋体" w:hAnsi="宋体" w:cs="宋体"/>
                <w:color w:val="000000"/>
                <w:szCs w:val="21"/>
              </w:rPr>
              <w:t>分值</w:t>
            </w:r>
          </w:p>
        </w:tc>
        <w:tc>
          <w:tcPr>
            <w:tcW w:w="6336" w:type="dxa"/>
          </w:tcPr>
          <w:p w14:paraId="2149A204">
            <w:pPr>
              <w:spacing w:line="400" w:lineRule="exact"/>
              <w:jc w:val="center"/>
              <w:rPr>
                <w:rFonts w:ascii="宋体" w:hAnsi="宋体" w:cs="宋体"/>
                <w:color w:val="000000"/>
                <w:szCs w:val="21"/>
              </w:rPr>
            </w:pPr>
            <w:r>
              <w:rPr>
                <w:rFonts w:hint="eastAsia" w:ascii="宋体" w:hAnsi="宋体" w:cs="宋体"/>
                <w:color w:val="000000"/>
                <w:szCs w:val="21"/>
              </w:rPr>
              <w:t>计分标准</w:t>
            </w:r>
          </w:p>
        </w:tc>
      </w:tr>
      <w:tr w14:paraId="711C09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gridSpan w:val="2"/>
            <w:vAlign w:val="center"/>
          </w:tcPr>
          <w:p w14:paraId="2511F5ED">
            <w:pPr>
              <w:spacing w:line="400" w:lineRule="exact"/>
              <w:jc w:val="center"/>
              <w:rPr>
                <w:rFonts w:ascii="宋体" w:hAnsi="宋体" w:cs="宋体"/>
                <w:color w:val="000000"/>
                <w:szCs w:val="21"/>
              </w:rPr>
            </w:pPr>
            <w:r>
              <w:rPr>
                <w:rFonts w:hint="eastAsia" w:ascii="宋体" w:hAnsi="宋体" w:cs="宋体"/>
                <w:color w:val="000000"/>
                <w:szCs w:val="21"/>
              </w:rPr>
              <w:t>价格部分（20分）</w:t>
            </w:r>
          </w:p>
        </w:tc>
        <w:tc>
          <w:tcPr>
            <w:tcW w:w="910" w:type="dxa"/>
            <w:vAlign w:val="center"/>
          </w:tcPr>
          <w:p w14:paraId="71426CD7">
            <w:pPr>
              <w:spacing w:line="400" w:lineRule="exact"/>
              <w:jc w:val="center"/>
              <w:rPr>
                <w:rFonts w:ascii="宋体" w:hAnsi="宋体" w:cs="宋体"/>
                <w:color w:val="000000"/>
                <w:szCs w:val="21"/>
                <w:highlight w:val="none"/>
              </w:rPr>
            </w:pPr>
            <w:r>
              <w:rPr>
                <w:rFonts w:hint="eastAsia" w:ascii="宋体" w:hAnsi="宋体" w:cs="宋体"/>
                <w:color w:val="000000"/>
                <w:szCs w:val="21"/>
                <w:highlight w:val="none"/>
              </w:rPr>
              <w:t>20</w:t>
            </w:r>
          </w:p>
        </w:tc>
        <w:tc>
          <w:tcPr>
            <w:tcW w:w="6336" w:type="dxa"/>
          </w:tcPr>
          <w:p w14:paraId="16AAC4E2">
            <w:pPr>
              <w:pStyle w:val="3"/>
              <w:ind w:firstLine="0"/>
              <w:rPr>
                <w:rFonts w:ascii="宋体" w:hAnsi="宋体" w:cs="宋体"/>
                <w:color w:val="000000"/>
                <w:szCs w:val="21"/>
                <w:highlight w:val="none"/>
              </w:rPr>
            </w:pPr>
            <w:r>
              <w:rPr>
                <w:rFonts w:hint="eastAsia" w:ascii="宋体" w:hAnsi="宋体" w:cs="宋体"/>
                <w:color w:val="000000"/>
                <w:szCs w:val="21"/>
                <w:highlight w:val="none"/>
              </w:rPr>
              <w:t>服务收费标准0.7元/5分钟得</w:t>
            </w:r>
            <w:r>
              <w:rPr>
                <w:rFonts w:hint="eastAsia" w:ascii="宋体" w:hAnsi="宋体" w:cs="宋体"/>
                <w:color w:val="000000"/>
                <w:szCs w:val="21"/>
                <w:highlight w:val="none"/>
                <w:lang w:val="en-US" w:eastAsia="zh-CN"/>
              </w:rPr>
              <w:t>10</w:t>
            </w:r>
            <w:r>
              <w:rPr>
                <w:rFonts w:hint="eastAsia" w:ascii="宋体" w:hAnsi="宋体" w:cs="宋体"/>
                <w:color w:val="000000"/>
                <w:szCs w:val="21"/>
                <w:highlight w:val="none"/>
              </w:rPr>
              <w:t>分，时间不变，每降低0.02元加</w:t>
            </w:r>
            <w:r>
              <w:rPr>
                <w:rFonts w:hint="eastAsia" w:ascii="宋体" w:hAnsi="宋体" w:cs="宋体"/>
                <w:color w:val="000000"/>
                <w:szCs w:val="21"/>
                <w:highlight w:val="none"/>
                <w:lang w:val="en-US" w:eastAsia="zh-CN"/>
              </w:rPr>
              <w:t>1</w:t>
            </w:r>
            <w:r>
              <w:rPr>
                <w:rFonts w:hint="eastAsia" w:ascii="宋体" w:hAnsi="宋体" w:cs="宋体"/>
                <w:color w:val="000000"/>
                <w:szCs w:val="21"/>
                <w:highlight w:val="none"/>
              </w:rPr>
              <w:t>分，最多得</w:t>
            </w:r>
            <w:r>
              <w:rPr>
                <w:rFonts w:hint="eastAsia" w:ascii="宋体" w:hAnsi="宋体" w:cs="宋体"/>
                <w:color w:val="000000"/>
                <w:szCs w:val="21"/>
                <w:highlight w:val="none"/>
                <w:lang w:val="en-US" w:eastAsia="zh-CN"/>
              </w:rPr>
              <w:t>2</w:t>
            </w:r>
            <w:r>
              <w:rPr>
                <w:rFonts w:hint="eastAsia" w:ascii="宋体" w:hAnsi="宋体" w:cs="宋体"/>
                <w:color w:val="000000"/>
                <w:szCs w:val="21"/>
                <w:highlight w:val="none"/>
              </w:rPr>
              <w:t>0分。</w:t>
            </w:r>
          </w:p>
        </w:tc>
      </w:tr>
      <w:tr w14:paraId="0A0BA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030" w:type="dxa"/>
            <w:vMerge w:val="restart"/>
            <w:vAlign w:val="center"/>
          </w:tcPr>
          <w:p w14:paraId="0F991B8E">
            <w:pPr>
              <w:spacing w:line="400" w:lineRule="exact"/>
              <w:rPr>
                <w:rFonts w:ascii="宋体" w:hAnsi="宋体" w:cs="宋体"/>
                <w:color w:val="000000"/>
                <w:szCs w:val="21"/>
              </w:rPr>
            </w:pPr>
            <w:r>
              <w:rPr>
                <w:rFonts w:hint="eastAsia" w:ascii="宋体" w:hAnsi="宋体" w:cs="宋体"/>
                <w:color w:val="000000"/>
                <w:szCs w:val="21"/>
              </w:rPr>
              <w:t>技术部分（5</w:t>
            </w:r>
            <w:r>
              <w:rPr>
                <w:rFonts w:hint="eastAsia" w:ascii="宋体" w:hAnsi="宋体" w:cs="宋体"/>
                <w:color w:val="000000"/>
                <w:szCs w:val="21"/>
                <w:lang w:val="en-US" w:eastAsia="zh-CN"/>
              </w:rPr>
              <w:t>8</w:t>
            </w:r>
            <w:r>
              <w:rPr>
                <w:rFonts w:hint="eastAsia" w:ascii="宋体" w:hAnsi="宋体" w:cs="宋体"/>
                <w:color w:val="000000"/>
                <w:szCs w:val="21"/>
              </w:rPr>
              <w:t>分）</w:t>
            </w:r>
          </w:p>
        </w:tc>
        <w:tc>
          <w:tcPr>
            <w:tcW w:w="1378" w:type="dxa"/>
            <w:vAlign w:val="center"/>
          </w:tcPr>
          <w:p w14:paraId="2354C8AB">
            <w:pPr>
              <w:spacing w:line="400" w:lineRule="exact"/>
              <w:jc w:val="center"/>
              <w:rPr>
                <w:rFonts w:ascii="宋体" w:hAnsi="宋体" w:cs="宋体"/>
                <w:color w:val="000000"/>
                <w:szCs w:val="21"/>
              </w:rPr>
            </w:pPr>
            <w:r>
              <w:rPr>
                <w:rFonts w:hint="eastAsia" w:ascii="宋体" w:hAnsi="宋体" w:cs="宋体"/>
                <w:color w:val="000000"/>
                <w:szCs w:val="21"/>
              </w:rPr>
              <w:t>吹风机设备和平台</w:t>
            </w:r>
          </w:p>
        </w:tc>
        <w:tc>
          <w:tcPr>
            <w:tcW w:w="910" w:type="dxa"/>
            <w:vAlign w:val="center"/>
          </w:tcPr>
          <w:p w14:paraId="311F946E">
            <w:pPr>
              <w:spacing w:line="400" w:lineRule="exact"/>
              <w:jc w:val="center"/>
              <w:rPr>
                <w:rFonts w:hint="eastAsia" w:ascii="宋体" w:hAnsi="宋体" w:eastAsia="宋体" w:cs="宋体"/>
                <w:color w:val="000000"/>
                <w:szCs w:val="21"/>
                <w:lang w:eastAsia="zh-CN"/>
              </w:rPr>
            </w:pPr>
            <w:r>
              <w:rPr>
                <w:rFonts w:hint="eastAsia" w:ascii="宋体" w:hAnsi="宋体" w:cs="宋体"/>
                <w:color w:val="000000"/>
                <w:szCs w:val="21"/>
              </w:rPr>
              <w:t>1</w:t>
            </w:r>
            <w:r>
              <w:rPr>
                <w:rFonts w:hint="eastAsia" w:ascii="宋体" w:hAnsi="宋体" w:cs="宋体"/>
                <w:color w:val="000000"/>
                <w:szCs w:val="21"/>
                <w:lang w:val="en-US" w:eastAsia="zh-CN"/>
              </w:rPr>
              <w:t>8</w:t>
            </w:r>
          </w:p>
        </w:tc>
        <w:tc>
          <w:tcPr>
            <w:tcW w:w="6336" w:type="dxa"/>
          </w:tcPr>
          <w:p w14:paraId="2FEECF14">
            <w:pPr>
              <w:spacing w:line="320" w:lineRule="exact"/>
              <w:rPr>
                <w:rFonts w:hint="eastAsia" w:ascii="宋体" w:hAnsi="宋体" w:eastAsia="宋体" w:cs="宋体"/>
                <w:color w:val="000000"/>
                <w:szCs w:val="21"/>
                <w:lang w:eastAsia="zh-CN"/>
              </w:rPr>
            </w:pPr>
            <w:r>
              <w:rPr>
                <w:rFonts w:hint="eastAsia" w:ascii="宋体" w:hAnsi="宋体" w:cs="宋体"/>
                <w:color w:val="000000"/>
                <w:szCs w:val="21"/>
              </w:rPr>
              <w:t>供应商的响应文件完全满足《第四章技术要求》条款带“△”条款共计9项，全部满足得18分，每有一项负偏离扣2分，扣完为止</w:t>
            </w:r>
            <w:r>
              <w:rPr>
                <w:rFonts w:hint="eastAsia" w:ascii="宋体" w:hAnsi="宋体" w:cs="宋体"/>
                <w:color w:val="000000"/>
                <w:szCs w:val="21"/>
                <w:lang w:eastAsia="zh-CN"/>
              </w:rPr>
              <w:t>。</w:t>
            </w:r>
          </w:p>
        </w:tc>
      </w:tr>
      <w:tr w14:paraId="3904A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030" w:type="dxa"/>
            <w:vMerge w:val="continue"/>
          </w:tcPr>
          <w:p w14:paraId="43CFF257">
            <w:pPr>
              <w:spacing w:line="400" w:lineRule="exact"/>
              <w:rPr>
                <w:rFonts w:ascii="宋体" w:hAnsi="宋体" w:cs="宋体"/>
                <w:color w:val="000000"/>
                <w:szCs w:val="21"/>
              </w:rPr>
            </w:pPr>
          </w:p>
        </w:tc>
        <w:tc>
          <w:tcPr>
            <w:tcW w:w="1378" w:type="dxa"/>
            <w:vAlign w:val="center"/>
          </w:tcPr>
          <w:p w14:paraId="620B1838">
            <w:pPr>
              <w:spacing w:line="400" w:lineRule="exact"/>
              <w:jc w:val="center"/>
              <w:rPr>
                <w:rFonts w:ascii="宋体" w:hAnsi="宋体" w:cs="宋体"/>
                <w:color w:val="000000"/>
                <w:szCs w:val="21"/>
              </w:rPr>
            </w:pPr>
            <w:r>
              <w:rPr>
                <w:rFonts w:hint="eastAsia" w:ascii="宋体" w:hAnsi="宋体" w:cs="宋体"/>
                <w:color w:val="000000"/>
                <w:kern w:val="0"/>
                <w:szCs w:val="21"/>
                <w:lang w:bidi="ar"/>
              </w:rPr>
              <w:t>建设方案</w:t>
            </w:r>
          </w:p>
        </w:tc>
        <w:tc>
          <w:tcPr>
            <w:tcW w:w="910" w:type="dxa"/>
            <w:vAlign w:val="center"/>
          </w:tcPr>
          <w:p w14:paraId="776F055C">
            <w:pPr>
              <w:spacing w:line="400" w:lineRule="exact"/>
              <w:jc w:val="center"/>
              <w:rPr>
                <w:rFonts w:ascii="宋体" w:hAnsi="宋体" w:cs="宋体"/>
                <w:color w:val="000000"/>
                <w:szCs w:val="21"/>
              </w:rPr>
            </w:pPr>
            <w:r>
              <w:rPr>
                <w:rFonts w:hint="eastAsia" w:ascii="宋体" w:hAnsi="宋体" w:cs="宋体"/>
                <w:color w:val="000000"/>
                <w:szCs w:val="21"/>
              </w:rPr>
              <w:t>8</w:t>
            </w:r>
          </w:p>
        </w:tc>
        <w:tc>
          <w:tcPr>
            <w:tcW w:w="6336" w:type="dxa"/>
          </w:tcPr>
          <w:p w14:paraId="46D499BF">
            <w:pPr>
              <w:widowControl/>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供应商针对本项目前期建设提供方案，包含但不限于：</w:t>
            </w:r>
          </w:p>
          <w:p w14:paraId="3AA75D3F">
            <w:pPr>
              <w:widowControl/>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（1）建设总体方案；（2）设备投放组织安排；（3）进度计划组织；（4）详细的人员安排。</w:t>
            </w:r>
          </w:p>
          <w:p w14:paraId="0AA18839">
            <w:pPr>
              <w:spacing w:line="360" w:lineRule="exact"/>
              <w:rPr>
                <w:rFonts w:ascii="宋体" w:hAnsi="宋体" w:cs="宋体"/>
                <w:b/>
                <w:bCs/>
                <w:color w:val="000000"/>
                <w:kern w:val="0"/>
                <w:szCs w:val="21"/>
              </w:rPr>
            </w:pPr>
            <w:r>
              <w:rPr>
                <w:rFonts w:hint="eastAsia" w:ascii="宋体" w:hAnsi="宋体" w:cs="宋体"/>
                <w:b/>
                <w:bCs/>
                <w:color w:val="000000"/>
                <w:kern w:val="0"/>
                <w:szCs w:val="21"/>
              </w:rPr>
              <w:t>评分标准：</w:t>
            </w:r>
          </w:p>
          <w:p w14:paraId="7F94194F">
            <w:pPr>
              <w:spacing w:line="400" w:lineRule="exact"/>
            </w:pPr>
            <w:r>
              <w:rPr>
                <w:rFonts w:hint="eastAsia"/>
              </w:rPr>
              <w:t>以上4项内容，经评审，内容详细，完善合理，且与采购需求相适应的，每项得2分;存在欠缺或不足的，每项得1分;有偏差的，每项得0.5分;存在重大缺陷或与本项目需求不相适应的得0分;未提供不得分。本项最多得8分。</w:t>
            </w:r>
          </w:p>
          <w:p w14:paraId="45C1FD21">
            <w:pPr>
              <w:spacing w:line="400" w:lineRule="exact"/>
              <w:rPr>
                <w:rFonts w:ascii="宋体" w:hAnsi="宋体" w:cs="宋体"/>
                <w:color w:val="000000"/>
                <w:szCs w:val="21"/>
              </w:rPr>
            </w:pPr>
            <w:r>
              <w:rPr>
                <w:rFonts w:hint="eastAsia"/>
              </w:rPr>
              <w:t>注:完善合理是指切合项目实际情况，内容完整，方案可操作性高，有针对性，切实可行;存在欠缺或不足是指基本满足项目实际情况，但内容有缺漏，方案针对性、可行性不强;有偏差是指与项目实际情况理解有误，方案没有针对性、可行性差。</w:t>
            </w:r>
          </w:p>
        </w:tc>
      </w:tr>
      <w:tr w14:paraId="4674B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030" w:type="dxa"/>
            <w:vMerge w:val="continue"/>
          </w:tcPr>
          <w:p w14:paraId="6C090C9E">
            <w:pPr>
              <w:spacing w:line="400" w:lineRule="exact"/>
              <w:rPr>
                <w:rFonts w:ascii="宋体" w:hAnsi="宋体" w:cs="宋体"/>
                <w:color w:val="000000"/>
                <w:szCs w:val="21"/>
              </w:rPr>
            </w:pPr>
          </w:p>
        </w:tc>
        <w:tc>
          <w:tcPr>
            <w:tcW w:w="1378" w:type="dxa"/>
            <w:vAlign w:val="center"/>
          </w:tcPr>
          <w:p w14:paraId="56B3C0B4">
            <w:pPr>
              <w:spacing w:line="400" w:lineRule="exact"/>
              <w:jc w:val="center"/>
              <w:rPr>
                <w:rFonts w:ascii="宋体" w:hAnsi="宋体" w:cs="宋体"/>
                <w:color w:val="000000"/>
                <w:kern w:val="0"/>
                <w:szCs w:val="21"/>
                <w:lang w:bidi="ar"/>
              </w:rPr>
            </w:pPr>
            <w:r>
              <w:rPr>
                <w:rFonts w:hint="eastAsia" w:ascii="宋体" w:hAnsi="宋体" w:cs="宋体"/>
                <w:color w:val="000000"/>
                <w:kern w:val="0"/>
                <w:szCs w:val="21"/>
                <w:lang w:bidi="ar"/>
              </w:rPr>
              <w:t>运营服务</w:t>
            </w:r>
          </w:p>
          <w:p w14:paraId="7F21230A">
            <w:pPr>
              <w:spacing w:line="400" w:lineRule="exact"/>
              <w:jc w:val="center"/>
              <w:rPr>
                <w:rFonts w:ascii="宋体" w:hAnsi="宋体" w:cs="宋体"/>
                <w:color w:val="000000"/>
                <w:szCs w:val="21"/>
              </w:rPr>
            </w:pPr>
            <w:r>
              <w:rPr>
                <w:rFonts w:hint="eastAsia" w:ascii="宋体" w:hAnsi="宋体" w:cs="宋体"/>
                <w:color w:val="000000"/>
                <w:kern w:val="0"/>
                <w:szCs w:val="21"/>
                <w:lang w:bidi="ar"/>
              </w:rPr>
              <w:t>方案</w:t>
            </w:r>
          </w:p>
        </w:tc>
        <w:tc>
          <w:tcPr>
            <w:tcW w:w="910" w:type="dxa"/>
            <w:vAlign w:val="center"/>
          </w:tcPr>
          <w:p w14:paraId="3E97F26D">
            <w:pPr>
              <w:spacing w:line="400" w:lineRule="exact"/>
              <w:jc w:val="center"/>
              <w:rPr>
                <w:rFonts w:ascii="宋体" w:hAnsi="宋体" w:cs="宋体"/>
                <w:color w:val="000000"/>
                <w:szCs w:val="21"/>
              </w:rPr>
            </w:pPr>
            <w:r>
              <w:rPr>
                <w:rFonts w:hint="eastAsia" w:ascii="宋体" w:hAnsi="宋体" w:cs="宋体"/>
                <w:color w:val="000000"/>
                <w:szCs w:val="21"/>
              </w:rPr>
              <w:t>12</w:t>
            </w:r>
          </w:p>
        </w:tc>
        <w:tc>
          <w:tcPr>
            <w:tcW w:w="6336" w:type="dxa"/>
          </w:tcPr>
          <w:p w14:paraId="71139D6D">
            <w:pPr>
              <w:widowControl/>
              <w:spacing w:line="360" w:lineRule="exact"/>
              <w:jc w:val="left"/>
              <w:rPr>
                <w:rFonts w:ascii="宋体" w:hAnsi="宋体" w:cs="宋体"/>
                <w:color w:val="000000"/>
                <w:kern w:val="0"/>
                <w:szCs w:val="21"/>
                <w:lang w:bidi="ar"/>
              </w:rPr>
            </w:pPr>
            <w:r>
              <w:rPr>
                <w:rFonts w:hint="eastAsia" w:ascii="宋体" w:hAnsi="宋体" w:cs="宋体"/>
                <w:color w:val="000000"/>
                <w:kern w:val="0"/>
                <w:szCs w:val="21"/>
                <w:lang w:bidi="ar"/>
              </w:rPr>
              <w:t>针对本项目提供切实可行的运营服务方案，包括但不限于（1）</w:t>
            </w:r>
            <w:r>
              <w:rPr>
                <w:rFonts w:hint="eastAsia" w:ascii="宋体" w:hAnsi="宋体" w:cs="宋体"/>
                <w:color w:val="000000"/>
                <w:szCs w:val="21"/>
              </w:rPr>
              <w:t>设备巡检方案</w:t>
            </w:r>
            <w:r>
              <w:rPr>
                <w:rFonts w:hint="eastAsia" w:ascii="宋体" w:hAnsi="宋体" w:cs="宋体"/>
                <w:color w:val="000000"/>
                <w:kern w:val="0"/>
                <w:szCs w:val="21"/>
                <w:lang w:bidi="ar"/>
              </w:rPr>
              <w:t>；（2）</w:t>
            </w:r>
            <w:r>
              <w:rPr>
                <w:rFonts w:hint="eastAsia" w:ascii="宋体" w:hAnsi="宋体" w:cs="宋体"/>
                <w:color w:val="000000"/>
                <w:szCs w:val="21"/>
              </w:rPr>
              <w:t>设备维护与保养方案</w:t>
            </w:r>
            <w:r>
              <w:rPr>
                <w:rFonts w:hint="eastAsia" w:ascii="宋体" w:hAnsi="宋体" w:cs="宋体"/>
                <w:color w:val="000000"/>
                <w:kern w:val="0"/>
                <w:szCs w:val="21"/>
                <w:lang w:bidi="ar"/>
              </w:rPr>
              <w:t>；（3）管理制度；（4）日常运行管理方案；（5）卫生保洁；（6）</w:t>
            </w:r>
            <w:r>
              <w:rPr>
                <w:rFonts w:hint="eastAsia" w:ascii="宋体" w:hAnsi="宋体" w:cs="宋体"/>
                <w:color w:val="000000"/>
                <w:szCs w:val="21"/>
              </w:rPr>
              <w:t>故障投诉响应方案。</w:t>
            </w:r>
          </w:p>
          <w:p w14:paraId="56FC4927">
            <w:pPr>
              <w:spacing w:line="360" w:lineRule="exact"/>
              <w:rPr>
                <w:rFonts w:ascii="宋体" w:hAnsi="宋体" w:cs="宋体"/>
                <w:b/>
                <w:bCs/>
                <w:color w:val="000000"/>
                <w:kern w:val="0"/>
                <w:szCs w:val="21"/>
              </w:rPr>
            </w:pPr>
            <w:r>
              <w:rPr>
                <w:rFonts w:hint="eastAsia" w:ascii="宋体" w:hAnsi="宋体" w:cs="宋体"/>
                <w:b/>
                <w:bCs/>
                <w:color w:val="000000"/>
                <w:kern w:val="0"/>
                <w:szCs w:val="21"/>
              </w:rPr>
              <w:t>评分标准：</w:t>
            </w:r>
          </w:p>
          <w:p w14:paraId="5914D87C">
            <w:pPr>
              <w:spacing w:line="400" w:lineRule="exact"/>
            </w:pPr>
            <w:r>
              <w:rPr>
                <w:rFonts w:hint="eastAsia"/>
              </w:rPr>
              <w:t>以上6项内容，经评审，内容详细，完善合理，且与采购需求相适应的，每项得2分;存在欠缺或不足的，每项得1分;有偏差的，每项得0.5分;存在重大缺陷或与本项目需求不相适应的得0分;未提供不得分。本项最多得12分。</w:t>
            </w:r>
          </w:p>
          <w:p w14:paraId="7589D689">
            <w:pPr>
              <w:spacing w:line="400" w:lineRule="exact"/>
            </w:pPr>
            <w:r>
              <w:rPr>
                <w:rFonts w:hint="eastAsia"/>
              </w:rPr>
              <w:t>注:完善合理是指切合项目实际情况，内容完整，方案可操作性高，有针对性，切实可行;存在欠缺或不足是指基本满足项目实际情况，但内容有缺漏，方案针对性、可行性不强;有偏差是指与项目实际情况理解有误，方案没有针对性、可行性差。</w:t>
            </w:r>
          </w:p>
        </w:tc>
      </w:tr>
      <w:tr w14:paraId="088F6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030" w:type="dxa"/>
            <w:vMerge w:val="continue"/>
          </w:tcPr>
          <w:p w14:paraId="086F56A1">
            <w:pPr>
              <w:spacing w:line="400" w:lineRule="exact"/>
              <w:rPr>
                <w:rFonts w:ascii="宋体" w:hAnsi="宋体" w:cs="宋体"/>
                <w:color w:val="000000"/>
                <w:szCs w:val="21"/>
              </w:rPr>
            </w:pPr>
          </w:p>
        </w:tc>
        <w:tc>
          <w:tcPr>
            <w:tcW w:w="1378" w:type="dxa"/>
            <w:vAlign w:val="center"/>
          </w:tcPr>
          <w:p w14:paraId="6DEBAA68">
            <w:pPr>
              <w:spacing w:line="400" w:lineRule="exact"/>
              <w:jc w:val="center"/>
              <w:rPr>
                <w:rFonts w:ascii="宋体" w:hAnsi="宋体" w:cs="宋体"/>
                <w:snapToGrid w:val="0"/>
                <w:color w:val="000000"/>
                <w:spacing w:val="-4"/>
                <w:kern w:val="0"/>
                <w:szCs w:val="21"/>
                <w:lang w:eastAsia="en-US"/>
              </w:rPr>
            </w:pPr>
            <w:r>
              <w:rPr>
                <w:rFonts w:hint="eastAsia" w:ascii="宋体" w:hAnsi="宋体" w:cs="宋体"/>
                <w:snapToGrid w:val="0"/>
                <w:color w:val="000000"/>
                <w:spacing w:val="-4"/>
                <w:kern w:val="0"/>
                <w:szCs w:val="21"/>
                <w:lang w:eastAsia="en-US"/>
              </w:rPr>
              <w:t>安全保障</w:t>
            </w:r>
          </w:p>
          <w:p w14:paraId="24AD64C0">
            <w:pPr>
              <w:spacing w:line="400" w:lineRule="exact"/>
              <w:jc w:val="center"/>
              <w:rPr>
                <w:rFonts w:ascii="宋体" w:hAnsi="宋体" w:cs="宋体"/>
                <w:color w:val="000000"/>
                <w:szCs w:val="21"/>
              </w:rPr>
            </w:pPr>
            <w:r>
              <w:rPr>
                <w:rFonts w:hint="eastAsia" w:ascii="宋体" w:hAnsi="宋体" w:cs="宋体"/>
                <w:snapToGrid w:val="0"/>
                <w:color w:val="000000"/>
                <w:spacing w:val="-4"/>
                <w:kern w:val="0"/>
                <w:szCs w:val="21"/>
                <w:lang w:eastAsia="en-US"/>
              </w:rPr>
              <w:t>措施</w:t>
            </w:r>
          </w:p>
        </w:tc>
        <w:tc>
          <w:tcPr>
            <w:tcW w:w="910" w:type="dxa"/>
            <w:vAlign w:val="center"/>
          </w:tcPr>
          <w:p w14:paraId="44165D1C">
            <w:pPr>
              <w:spacing w:line="400" w:lineRule="exact"/>
              <w:jc w:val="center"/>
              <w:rPr>
                <w:rFonts w:ascii="宋体" w:hAnsi="宋体" w:cs="宋体"/>
                <w:color w:val="000000"/>
                <w:szCs w:val="21"/>
              </w:rPr>
            </w:pPr>
            <w:r>
              <w:rPr>
                <w:rFonts w:hint="eastAsia" w:ascii="宋体" w:hAnsi="宋体" w:cs="宋体"/>
                <w:color w:val="000000"/>
                <w:szCs w:val="21"/>
              </w:rPr>
              <w:t>8</w:t>
            </w:r>
          </w:p>
        </w:tc>
        <w:tc>
          <w:tcPr>
            <w:tcW w:w="6336" w:type="dxa"/>
          </w:tcPr>
          <w:p w14:paraId="0073B049">
            <w:pPr>
              <w:spacing w:line="400" w:lineRule="exact"/>
            </w:pPr>
            <w:r>
              <w:rPr>
                <w:rFonts w:hint="eastAsia"/>
              </w:rPr>
              <w:t>供应商针对本项目提供安全保障措施方案，包含但不限于：（1）安全保障责任制度；（2）用电安全防护措施；（3）应急总体预案；（4）应急保障措施。</w:t>
            </w:r>
          </w:p>
          <w:p w14:paraId="318645CA">
            <w:pPr>
              <w:spacing w:line="360" w:lineRule="exact"/>
              <w:rPr>
                <w:rFonts w:ascii="宋体" w:hAnsi="宋体" w:cs="宋体"/>
                <w:b/>
                <w:bCs/>
                <w:color w:val="000000"/>
                <w:kern w:val="0"/>
                <w:szCs w:val="21"/>
              </w:rPr>
            </w:pPr>
            <w:r>
              <w:rPr>
                <w:rFonts w:hint="eastAsia" w:ascii="宋体" w:hAnsi="宋体" w:cs="宋体"/>
                <w:b/>
                <w:bCs/>
                <w:color w:val="000000"/>
                <w:kern w:val="0"/>
                <w:szCs w:val="21"/>
              </w:rPr>
              <w:t>评分标准：</w:t>
            </w:r>
          </w:p>
          <w:p w14:paraId="05E49C3F">
            <w:pPr>
              <w:spacing w:line="400" w:lineRule="exact"/>
            </w:pPr>
            <w:r>
              <w:rPr>
                <w:rFonts w:hint="eastAsia"/>
              </w:rPr>
              <w:t>以上4项内容，经评审，内容详细，完善合理，且与采购需求相适应的，每项得2分;存在欠缺或不足的，每项得1分;有偏差的，每项得0.5分;存在重大缺陷或与本项目需求不相适应的得0分;未提供不得分。本项最多得8分。</w:t>
            </w:r>
          </w:p>
          <w:p w14:paraId="6F476FE2">
            <w:pPr>
              <w:spacing w:line="400" w:lineRule="exact"/>
            </w:pPr>
            <w:r>
              <w:rPr>
                <w:rFonts w:hint="eastAsia"/>
              </w:rPr>
              <w:t>注:完善合理是指切合项目实际情况，内容完整，方案可操作性高，有针对性，切实可行;存在欠缺或不足是指基本满足项目实际情况，但内容有缺漏，方案针对性、可行性不强;有偏差是指与项目实际情况理解有误，方案没有针对性、可行性差。</w:t>
            </w:r>
          </w:p>
        </w:tc>
      </w:tr>
      <w:tr w14:paraId="43D4AA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030" w:type="dxa"/>
            <w:vMerge w:val="continue"/>
          </w:tcPr>
          <w:p w14:paraId="345CCEB9">
            <w:pPr>
              <w:spacing w:line="400" w:lineRule="exact"/>
              <w:rPr>
                <w:rFonts w:ascii="宋体" w:hAnsi="宋体" w:cs="宋体"/>
                <w:color w:val="000000"/>
                <w:szCs w:val="21"/>
              </w:rPr>
            </w:pPr>
          </w:p>
        </w:tc>
        <w:tc>
          <w:tcPr>
            <w:tcW w:w="1378" w:type="dxa"/>
            <w:vAlign w:val="center"/>
          </w:tcPr>
          <w:p w14:paraId="2BD6F1A9">
            <w:pPr>
              <w:widowControl/>
              <w:tabs>
                <w:tab w:val="left" w:pos="893"/>
              </w:tabs>
              <w:spacing w:line="380" w:lineRule="exact"/>
              <w:ind w:right="113"/>
              <w:jc w:val="center"/>
              <w:textAlignment w:val="baseline"/>
              <w:rPr>
                <w:rFonts w:ascii="宋体" w:hAnsi="宋体" w:cs="宋体"/>
                <w:bCs/>
                <w:kern w:val="0"/>
                <w:szCs w:val="21"/>
              </w:rPr>
            </w:pPr>
            <w:r>
              <w:rPr>
                <w:rFonts w:hint="eastAsia" w:ascii="宋体" w:hAnsi="宋体" w:cs="宋体"/>
                <w:bCs/>
                <w:kern w:val="0"/>
                <w:szCs w:val="21"/>
              </w:rPr>
              <w:t>服务标准及质量</w:t>
            </w:r>
          </w:p>
          <w:p w14:paraId="08A0F966">
            <w:pPr>
              <w:widowControl/>
              <w:tabs>
                <w:tab w:val="left" w:pos="893"/>
              </w:tabs>
              <w:spacing w:line="380" w:lineRule="exact"/>
              <w:ind w:right="113"/>
              <w:jc w:val="center"/>
              <w:textAlignment w:val="baseline"/>
              <w:rPr>
                <w:rFonts w:ascii="宋体" w:hAnsi="宋体" w:cs="宋体"/>
                <w:snapToGrid w:val="0"/>
                <w:color w:val="000000"/>
                <w:spacing w:val="-4"/>
                <w:kern w:val="0"/>
                <w:szCs w:val="21"/>
              </w:rPr>
            </w:pPr>
            <w:r>
              <w:rPr>
                <w:rFonts w:hint="eastAsia" w:ascii="宋体" w:hAnsi="宋体" w:cs="宋体"/>
                <w:bCs/>
                <w:kern w:val="0"/>
                <w:szCs w:val="21"/>
              </w:rPr>
              <w:t>保证措施</w:t>
            </w:r>
          </w:p>
        </w:tc>
        <w:tc>
          <w:tcPr>
            <w:tcW w:w="910" w:type="dxa"/>
            <w:vAlign w:val="center"/>
          </w:tcPr>
          <w:p w14:paraId="37D7D082">
            <w:pPr>
              <w:widowControl/>
              <w:tabs>
                <w:tab w:val="left" w:pos="893"/>
              </w:tabs>
              <w:spacing w:line="380" w:lineRule="exact"/>
              <w:ind w:right="113"/>
              <w:jc w:val="center"/>
              <w:textAlignment w:val="baseline"/>
              <w:rPr>
                <w:rFonts w:hint="eastAsia" w:ascii="宋体" w:hAnsi="宋体" w:eastAsia="宋体" w:cs="宋体"/>
                <w:color w:val="000000"/>
                <w:szCs w:val="21"/>
                <w:lang w:eastAsia="zh-CN"/>
              </w:rPr>
            </w:pPr>
            <w:r>
              <w:rPr>
                <w:rFonts w:hint="eastAsia" w:ascii="宋体" w:hAnsi="宋体" w:cs="宋体"/>
                <w:bCs/>
                <w:kern w:val="0"/>
                <w:szCs w:val="21"/>
                <w:lang w:val="en-US" w:eastAsia="zh-CN"/>
              </w:rPr>
              <w:t>6</w:t>
            </w:r>
          </w:p>
        </w:tc>
        <w:tc>
          <w:tcPr>
            <w:tcW w:w="6336" w:type="dxa"/>
          </w:tcPr>
          <w:p w14:paraId="336440AF">
            <w:pPr>
              <w:widowControl/>
              <w:tabs>
                <w:tab w:val="left" w:pos="893"/>
              </w:tabs>
              <w:spacing w:line="380" w:lineRule="exact"/>
              <w:ind w:right="113"/>
              <w:jc w:val="left"/>
              <w:textAlignment w:val="baseline"/>
            </w:pPr>
            <w:r>
              <w:rPr>
                <w:rFonts w:hint="eastAsia"/>
              </w:rPr>
              <w:t>根据供应商所作出的服务标准及质量保证措施评审。</w:t>
            </w:r>
          </w:p>
          <w:p w14:paraId="421D37D7">
            <w:pPr>
              <w:widowControl/>
              <w:tabs>
                <w:tab w:val="left" w:pos="893"/>
              </w:tabs>
              <w:spacing w:line="380" w:lineRule="exact"/>
              <w:ind w:right="113"/>
              <w:jc w:val="left"/>
              <w:textAlignment w:val="baseline"/>
            </w:pPr>
            <w:r>
              <w:rPr>
                <w:rFonts w:hint="eastAsia"/>
              </w:rPr>
              <w:t>1.措施内容完善，详细、合理、可行的得</w:t>
            </w:r>
            <w:r>
              <w:rPr>
                <w:rFonts w:hint="eastAsia"/>
                <w:lang w:val="en-US" w:eastAsia="zh-CN"/>
              </w:rPr>
              <w:t>4</w:t>
            </w:r>
            <w:r>
              <w:rPr>
                <w:rFonts w:hint="eastAsia"/>
              </w:rPr>
              <w:t>分；措施内容基本合理、可行的得2分，措施欠合理的得1分；其他或未提供不得分。</w:t>
            </w:r>
          </w:p>
          <w:p w14:paraId="41B1D95D">
            <w:pPr>
              <w:widowControl/>
              <w:tabs>
                <w:tab w:val="left" w:pos="893"/>
              </w:tabs>
              <w:spacing w:line="380" w:lineRule="exact"/>
              <w:ind w:right="113"/>
              <w:jc w:val="left"/>
              <w:textAlignment w:val="baseline"/>
            </w:pPr>
            <w:r>
              <w:rPr>
                <w:rFonts w:hint="eastAsia"/>
              </w:rPr>
              <w:t>2.有相应质量处罚措施的得2分，仅有质量处罚承诺没有措施的得1分。其他或未提供不得分。</w:t>
            </w:r>
          </w:p>
          <w:p w14:paraId="486D97E0">
            <w:pPr>
              <w:widowControl/>
              <w:tabs>
                <w:tab w:val="left" w:pos="893"/>
              </w:tabs>
              <w:spacing w:line="380" w:lineRule="exact"/>
              <w:ind w:right="113"/>
              <w:jc w:val="left"/>
              <w:textAlignment w:val="baseline"/>
            </w:pPr>
            <w:r>
              <w:rPr>
                <w:rFonts w:hint="eastAsia"/>
              </w:rPr>
              <w:t>本项最多得</w:t>
            </w:r>
            <w:r>
              <w:rPr>
                <w:rFonts w:hint="eastAsia"/>
                <w:lang w:val="en-US" w:eastAsia="zh-CN"/>
              </w:rPr>
              <w:t>6</w:t>
            </w:r>
            <w:r>
              <w:rPr>
                <w:rFonts w:hint="eastAsia"/>
              </w:rPr>
              <w:t>分。</w:t>
            </w:r>
          </w:p>
        </w:tc>
      </w:tr>
      <w:tr w14:paraId="4B7D9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8" w:hRule="atLeast"/>
          <w:jc w:val="center"/>
        </w:trPr>
        <w:tc>
          <w:tcPr>
            <w:tcW w:w="1030" w:type="dxa"/>
            <w:vMerge w:val="continue"/>
          </w:tcPr>
          <w:p w14:paraId="1DD56E48">
            <w:pPr>
              <w:spacing w:line="400" w:lineRule="exact"/>
              <w:rPr>
                <w:rFonts w:ascii="宋体" w:hAnsi="宋体" w:cs="宋体"/>
                <w:color w:val="000000"/>
                <w:szCs w:val="21"/>
              </w:rPr>
            </w:pPr>
          </w:p>
        </w:tc>
        <w:tc>
          <w:tcPr>
            <w:tcW w:w="1378" w:type="dxa"/>
            <w:vAlign w:val="center"/>
          </w:tcPr>
          <w:p w14:paraId="5A94EE3C">
            <w:pPr>
              <w:widowControl/>
              <w:tabs>
                <w:tab w:val="left" w:pos="893"/>
              </w:tabs>
              <w:spacing w:line="380" w:lineRule="exact"/>
              <w:ind w:right="113"/>
              <w:jc w:val="center"/>
              <w:textAlignment w:val="baseline"/>
            </w:pPr>
            <w:r>
              <w:rPr>
                <w:rFonts w:hint="eastAsia"/>
              </w:rPr>
              <w:t>保密</w:t>
            </w:r>
          </w:p>
          <w:p w14:paraId="7FAB58CA">
            <w:pPr>
              <w:widowControl/>
              <w:tabs>
                <w:tab w:val="left" w:pos="893"/>
              </w:tabs>
              <w:spacing w:line="380" w:lineRule="exact"/>
              <w:ind w:right="113"/>
              <w:jc w:val="center"/>
              <w:textAlignment w:val="baseline"/>
              <w:rPr>
                <w:rFonts w:ascii="宋体" w:hAnsi="宋体" w:cs="宋体"/>
                <w:bCs/>
                <w:kern w:val="0"/>
                <w:szCs w:val="21"/>
              </w:rPr>
            </w:pPr>
            <w:r>
              <w:rPr>
                <w:rFonts w:hint="eastAsia"/>
              </w:rPr>
              <w:t>措施</w:t>
            </w:r>
          </w:p>
        </w:tc>
        <w:tc>
          <w:tcPr>
            <w:tcW w:w="910" w:type="dxa"/>
            <w:vAlign w:val="center"/>
          </w:tcPr>
          <w:p w14:paraId="21A6A197">
            <w:pPr>
              <w:widowControl/>
              <w:tabs>
                <w:tab w:val="left" w:pos="893"/>
              </w:tabs>
              <w:spacing w:line="380" w:lineRule="exact"/>
              <w:ind w:right="113"/>
              <w:jc w:val="center"/>
              <w:textAlignment w:val="baseline"/>
              <w:rPr>
                <w:rFonts w:hint="eastAsia" w:ascii="宋体" w:hAnsi="宋体" w:eastAsia="宋体" w:cs="宋体"/>
                <w:bCs/>
                <w:kern w:val="0"/>
                <w:szCs w:val="21"/>
                <w:lang w:eastAsia="zh-CN"/>
              </w:rPr>
            </w:pPr>
            <w:r>
              <w:rPr>
                <w:rFonts w:hint="eastAsia"/>
                <w:lang w:val="en-US" w:eastAsia="zh-CN"/>
              </w:rPr>
              <w:t>6</w:t>
            </w:r>
          </w:p>
        </w:tc>
        <w:tc>
          <w:tcPr>
            <w:tcW w:w="6336" w:type="dxa"/>
          </w:tcPr>
          <w:p w14:paraId="365E94BB">
            <w:pPr>
              <w:spacing w:line="400" w:lineRule="exact"/>
            </w:pPr>
            <w:r>
              <w:rPr>
                <w:rFonts w:hint="eastAsia"/>
              </w:rPr>
              <w:t>供应商根据项目实际</w:t>
            </w:r>
            <w:r>
              <w:rPr>
                <w:rFonts w:hint="eastAsia"/>
                <w:lang w:val="zh-CN"/>
              </w:rPr>
              <w:t>需要</w:t>
            </w:r>
            <w:r>
              <w:rPr>
                <w:rFonts w:hint="eastAsia"/>
              </w:rPr>
              <w:t>提出保密措施，包含但不限于：（1）学校师生数据信息安全；（2）运维人员全周期保密管理。</w:t>
            </w:r>
          </w:p>
          <w:p w14:paraId="14F76F8A">
            <w:pPr>
              <w:spacing w:line="360" w:lineRule="exact"/>
              <w:rPr>
                <w:rFonts w:ascii="宋体" w:hAnsi="宋体" w:cs="宋体"/>
                <w:b/>
                <w:bCs/>
                <w:kern w:val="0"/>
                <w:szCs w:val="21"/>
              </w:rPr>
            </w:pPr>
            <w:r>
              <w:rPr>
                <w:rFonts w:hint="eastAsia" w:ascii="宋体" w:hAnsi="宋体" w:cs="宋体"/>
                <w:b/>
                <w:bCs/>
                <w:kern w:val="0"/>
                <w:szCs w:val="21"/>
              </w:rPr>
              <w:t>评分标准：</w:t>
            </w:r>
          </w:p>
          <w:p w14:paraId="59BB218E">
            <w:pPr>
              <w:spacing w:line="400" w:lineRule="exact"/>
            </w:pPr>
            <w:r>
              <w:rPr>
                <w:rFonts w:hint="eastAsia"/>
              </w:rPr>
              <w:t>以上2项内容，经评审，内容详细，完善合理，且与采购需求相适应的，每项得</w:t>
            </w:r>
            <w:r>
              <w:rPr>
                <w:rFonts w:hint="eastAsia"/>
                <w:lang w:val="en-US" w:eastAsia="zh-CN"/>
              </w:rPr>
              <w:t>3</w:t>
            </w:r>
            <w:r>
              <w:rPr>
                <w:rFonts w:hint="eastAsia"/>
              </w:rPr>
              <w:t>分;存在欠缺或不足的，每项得</w:t>
            </w:r>
            <w:r>
              <w:rPr>
                <w:rFonts w:hint="eastAsia"/>
                <w:lang w:val="en-US" w:eastAsia="zh-CN"/>
              </w:rPr>
              <w:t>2</w:t>
            </w:r>
            <w:r>
              <w:rPr>
                <w:rFonts w:hint="eastAsia"/>
              </w:rPr>
              <w:t>分;有偏差的，每项得</w:t>
            </w:r>
            <w:r>
              <w:rPr>
                <w:rFonts w:hint="eastAsia"/>
                <w:lang w:val="en-US" w:eastAsia="zh-CN"/>
              </w:rPr>
              <w:t>1</w:t>
            </w:r>
            <w:r>
              <w:rPr>
                <w:rFonts w:hint="eastAsia"/>
              </w:rPr>
              <w:t>分;存在重大缺陷或与本项目需求不相适应的得0分;未提供不得分。本项最多得</w:t>
            </w:r>
            <w:r>
              <w:rPr>
                <w:rFonts w:hint="eastAsia"/>
                <w:lang w:val="en-US" w:eastAsia="zh-CN"/>
              </w:rPr>
              <w:t>6</w:t>
            </w:r>
            <w:r>
              <w:rPr>
                <w:rFonts w:hint="eastAsia"/>
              </w:rPr>
              <w:t>分。</w:t>
            </w:r>
          </w:p>
          <w:p w14:paraId="63DD6631">
            <w:pPr>
              <w:widowControl/>
              <w:tabs>
                <w:tab w:val="left" w:pos="893"/>
              </w:tabs>
              <w:spacing w:line="380" w:lineRule="exact"/>
              <w:ind w:right="113"/>
              <w:jc w:val="left"/>
              <w:textAlignment w:val="baseline"/>
              <w:rPr>
                <w:highlight w:val="yellow"/>
              </w:rPr>
            </w:pPr>
            <w:r>
              <w:rPr>
                <w:rFonts w:hint="eastAsia"/>
              </w:rPr>
              <w:t>注:完善合理是指切合项目实际情况，内容完整，方案可操作性高，有针对性，切实可行;存在欠缺或不足是指基本满足项目实际情况，但内容有缺漏，方案针对性、可行性不强;有偏差是指与项目实际情况理解有误，方案没有针对性、可行性差。</w:t>
            </w:r>
          </w:p>
        </w:tc>
      </w:tr>
      <w:tr w14:paraId="44F6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restart"/>
            <w:vAlign w:val="center"/>
          </w:tcPr>
          <w:p w14:paraId="218F225A">
            <w:pPr>
              <w:spacing w:line="400" w:lineRule="exact"/>
              <w:rPr>
                <w:rFonts w:ascii="宋体" w:hAnsi="宋体" w:cs="宋体"/>
                <w:color w:val="000000"/>
                <w:szCs w:val="21"/>
              </w:rPr>
            </w:pPr>
            <w:r>
              <w:rPr>
                <w:rFonts w:hint="eastAsia" w:ascii="宋体" w:hAnsi="宋体" w:cs="宋体"/>
                <w:color w:val="000000"/>
                <w:szCs w:val="21"/>
              </w:rPr>
              <w:t>商务部分（</w:t>
            </w:r>
            <w:r>
              <w:rPr>
                <w:rFonts w:hint="eastAsia" w:ascii="宋体" w:hAnsi="宋体" w:cs="宋体"/>
                <w:color w:val="000000"/>
                <w:szCs w:val="21"/>
                <w:lang w:val="en-US" w:eastAsia="zh-CN"/>
              </w:rPr>
              <w:t>22</w:t>
            </w:r>
            <w:r>
              <w:rPr>
                <w:rFonts w:hint="eastAsia" w:ascii="宋体" w:hAnsi="宋体" w:cs="宋体"/>
                <w:color w:val="000000"/>
                <w:szCs w:val="21"/>
              </w:rPr>
              <w:t>分）</w:t>
            </w:r>
          </w:p>
        </w:tc>
        <w:tc>
          <w:tcPr>
            <w:tcW w:w="1378" w:type="dxa"/>
            <w:vAlign w:val="center"/>
          </w:tcPr>
          <w:p w14:paraId="77CDE233">
            <w:pPr>
              <w:spacing w:line="400" w:lineRule="exact"/>
              <w:jc w:val="center"/>
              <w:rPr>
                <w:rFonts w:ascii="宋体" w:hAnsi="宋体" w:cs="宋体"/>
                <w:color w:val="auto"/>
                <w:szCs w:val="21"/>
              </w:rPr>
            </w:pPr>
            <w:r>
              <w:rPr>
                <w:rFonts w:hint="eastAsia" w:ascii="宋体" w:hAnsi="宋体" w:cs="宋体"/>
                <w:color w:val="auto"/>
                <w:szCs w:val="21"/>
              </w:rPr>
              <w:t>企业综合</w:t>
            </w:r>
          </w:p>
          <w:p w14:paraId="601AB8DE">
            <w:pPr>
              <w:spacing w:line="400" w:lineRule="exact"/>
              <w:jc w:val="center"/>
              <w:rPr>
                <w:rFonts w:ascii="宋体" w:hAnsi="宋体" w:cs="宋体"/>
                <w:color w:val="auto"/>
                <w:szCs w:val="21"/>
              </w:rPr>
            </w:pPr>
            <w:r>
              <w:rPr>
                <w:rFonts w:hint="eastAsia" w:ascii="宋体" w:hAnsi="宋体" w:cs="宋体"/>
                <w:color w:val="auto"/>
                <w:szCs w:val="21"/>
              </w:rPr>
              <w:t>实力</w:t>
            </w:r>
          </w:p>
        </w:tc>
        <w:tc>
          <w:tcPr>
            <w:tcW w:w="910" w:type="dxa"/>
            <w:vAlign w:val="center"/>
          </w:tcPr>
          <w:p w14:paraId="35EA6A2A">
            <w:pPr>
              <w:spacing w:line="400" w:lineRule="exact"/>
              <w:jc w:val="center"/>
              <w:rPr>
                <w:rFonts w:ascii="宋体" w:hAnsi="宋体" w:cs="宋体"/>
                <w:color w:val="auto"/>
                <w:szCs w:val="21"/>
              </w:rPr>
            </w:pPr>
            <w:r>
              <w:rPr>
                <w:rFonts w:hint="eastAsia" w:ascii="宋体" w:hAnsi="宋体" w:cs="宋体"/>
                <w:color w:val="auto"/>
                <w:szCs w:val="21"/>
                <w:lang w:val="en-US" w:eastAsia="zh-CN"/>
              </w:rPr>
              <w:t>4</w:t>
            </w:r>
          </w:p>
        </w:tc>
        <w:tc>
          <w:tcPr>
            <w:tcW w:w="6336" w:type="dxa"/>
            <w:vAlign w:val="top"/>
          </w:tcPr>
          <w:p w14:paraId="285F83FE">
            <w:pPr>
              <w:spacing w:line="400" w:lineRule="exact"/>
              <w:rPr>
                <w:rFonts w:ascii="宋体" w:hAnsi="宋体" w:cs="宋体"/>
                <w:color w:val="auto"/>
                <w:szCs w:val="21"/>
              </w:rPr>
            </w:pPr>
            <w:r>
              <w:rPr>
                <w:rFonts w:hint="eastAsia" w:ascii="宋体" w:hAnsi="宋体" w:cs="宋体"/>
                <w:color w:val="auto"/>
                <w:szCs w:val="21"/>
              </w:rPr>
              <w:t>供应商具有ISO9001质量管理体系认证、ISO14001环境管理体系认证、ISO45001职业健康安全管理体系认证和节能技术服务认证证书的每个得</w:t>
            </w:r>
            <w:r>
              <w:rPr>
                <w:rFonts w:hint="eastAsia" w:ascii="宋体" w:hAnsi="宋体" w:cs="宋体"/>
                <w:color w:val="auto"/>
                <w:szCs w:val="21"/>
                <w:lang w:val="en-US" w:eastAsia="zh-CN"/>
              </w:rPr>
              <w:t>1</w:t>
            </w:r>
            <w:r>
              <w:rPr>
                <w:rFonts w:hint="eastAsia" w:ascii="宋体" w:hAnsi="宋体" w:cs="宋体"/>
                <w:color w:val="auto"/>
                <w:szCs w:val="21"/>
              </w:rPr>
              <w:t>分，最多得</w:t>
            </w:r>
            <w:r>
              <w:rPr>
                <w:rFonts w:hint="eastAsia" w:ascii="宋体" w:hAnsi="宋体" w:cs="宋体"/>
                <w:color w:val="auto"/>
                <w:szCs w:val="21"/>
                <w:lang w:val="en-US" w:eastAsia="zh-CN"/>
              </w:rPr>
              <w:t>4</w:t>
            </w:r>
            <w:r>
              <w:rPr>
                <w:rFonts w:hint="eastAsia" w:ascii="宋体" w:hAnsi="宋体" w:cs="宋体"/>
                <w:color w:val="auto"/>
                <w:szCs w:val="21"/>
              </w:rPr>
              <w:t>分。（提供合格有效的证书清晰</w:t>
            </w:r>
            <w:r>
              <w:rPr>
                <w:rFonts w:hint="eastAsia" w:hAnsi="宋体" w:cs="宋体"/>
                <w:color w:val="auto"/>
                <w:szCs w:val="21"/>
              </w:rPr>
              <w:t>复印件</w:t>
            </w:r>
            <w:r>
              <w:rPr>
                <w:rFonts w:hint="eastAsia" w:ascii="宋体" w:hAnsi="宋体" w:cs="宋体"/>
                <w:color w:val="auto"/>
                <w:szCs w:val="21"/>
              </w:rPr>
              <w:t>及全国认证认可信息公共服务平台 http://cx.cnca.cn/查询截图，否则不得分。）</w:t>
            </w:r>
          </w:p>
        </w:tc>
      </w:tr>
      <w:tr w14:paraId="709FC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vAlign w:val="center"/>
          </w:tcPr>
          <w:p w14:paraId="7D05C2AC">
            <w:pPr>
              <w:spacing w:line="400" w:lineRule="exact"/>
              <w:rPr>
                <w:rFonts w:ascii="宋体" w:hAnsi="宋体" w:cs="宋体"/>
                <w:color w:val="000000"/>
                <w:szCs w:val="21"/>
              </w:rPr>
            </w:pPr>
          </w:p>
        </w:tc>
        <w:tc>
          <w:tcPr>
            <w:tcW w:w="1378" w:type="dxa"/>
            <w:vAlign w:val="center"/>
          </w:tcPr>
          <w:p w14:paraId="0E0A1708">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类似业绩</w:t>
            </w:r>
          </w:p>
        </w:tc>
        <w:tc>
          <w:tcPr>
            <w:tcW w:w="910" w:type="dxa"/>
            <w:vAlign w:val="center"/>
          </w:tcPr>
          <w:p w14:paraId="2C9FF131">
            <w:pPr>
              <w:spacing w:line="400" w:lineRule="exact"/>
              <w:jc w:val="center"/>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6</w:t>
            </w:r>
          </w:p>
        </w:tc>
        <w:tc>
          <w:tcPr>
            <w:tcW w:w="6336" w:type="dxa"/>
            <w:vAlign w:val="top"/>
          </w:tcPr>
          <w:p w14:paraId="0552FD23">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lang w:val="en-US" w:eastAsia="zh-CN"/>
                <w14:textFill>
                  <w14:solidFill>
                    <w14:schemeClr w14:val="tx1"/>
                  </w14:solidFill>
                </w14:textFill>
              </w:rPr>
              <w:t>供应商</w:t>
            </w:r>
            <w:r>
              <w:rPr>
                <w:rFonts w:hint="eastAsia" w:ascii="宋体" w:hAnsi="宋体" w:cs="宋体"/>
                <w:color w:val="000000" w:themeColor="text1"/>
                <w:szCs w:val="21"/>
                <w14:textFill>
                  <w14:solidFill>
                    <w14:schemeClr w14:val="tx1"/>
                  </w14:solidFill>
                </w14:textFill>
              </w:rPr>
              <w:t>近三年（响应文件递交截止时间往前推三年，以合同签订</w:t>
            </w:r>
          </w:p>
          <w:p w14:paraId="289C9D2F">
            <w:pPr>
              <w:spacing w:line="400" w:lineRule="exact"/>
              <w:rPr>
                <w:rFonts w:ascii="宋体" w:hAnsi="宋体" w:cs="宋体"/>
                <w:color w:val="000000" w:themeColor="text1"/>
                <w:szCs w:val="21"/>
                <w14:textFill>
                  <w14:solidFill>
                    <w14:schemeClr w14:val="tx1"/>
                  </w14:solidFill>
                </w14:textFill>
              </w:rPr>
            </w:pPr>
            <w:r>
              <w:rPr>
                <w:rFonts w:hint="eastAsia" w:ascii="宋体" w:hAnsi="宋体" w:cs="宋体"/>
                <w:color w:val="000000" w:themeColor="text1"/>
                <w:szCs w:val="21"/>
                <w14:textFill>
                  <w14:solidFill>
                    <w14:schemeClr w14:val="tx1"/>
                  </w14:solidFill>
                </w14:textFill>
              </w:rPr>
              <w:t>时间为准）具有类似项目业绩，每提供1个业绩得2分，满分6分。证明材料：须提供合同关键页，含签订合同双方的单位名称、合同项目名称、签订合同双方的落款盖章、签订日期的关键页。提供清晰复印件并加盖供应商单位章。评分中出现无证明资料或未按要求提供资料或专家无法凭所提供资料判断是否得分的情况，一律不得分。</w:t>
            </w:r>
          </w:p>
        </w:tc>
      </w:tr>
      <w:tr w14:paraId="6E652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vAlign w:val="center"/>
          </w:tcPr>
          <w:p w14:paraId="5A4A5BF4">
            <w:pPr>
              <w:spacing w:line="400" w:lineRule="exact"/>
              <w:rPr>
                <w:rFonts w:ascii="宋体" w:hAnsi="宋体" w:cs="宋体"/>
                <w:color w:val="000000"/>
                <w:szCs w:val="21"/>
              </w:rPr>
            </w:pPr>
          </w:p>
        </w:tc>
        <w:tc>
          <w:tcPr>
            <w:tcW w:w="1378" w:type="dxa"/>
            <w:vAlign w:val="center"/>
          </w:tcPr>
          <w:p w14:paraId="6937A5E0">
            <w:pPr>
              <w:spacing w:line="400" w:lineRule="exact"/>
              <w:jc w:val="center"/>
              <w:rPr>
                <w:rFonts w:ascii="宋体" w:hAnsi="宋体" w:cs="宋体"/>
                <w:color w:val="auto"/>
                <w:szCs w:val="21"/>
              </w:rPr>
            </w:pPr>
            <w:r>
              <w:rPr>
                <w:rFonts w:hint="eastAsia" w:ascii="宋体" w:hAnsi="宋体" w:cs="宋体"/>
                <w:color w:val="auto"/>
                <w:szCs w:val="21"/>
                <w:lang w:val="en-US" w:eastAsia="zh-CN"/>
              </w:rPr>
              <w:t>场地租赁费</w:t>
            </w:r>
          </w:p>
        </w:tc>
        <w:tc>
          <w:tcPr>
            <w:tcW w:w="910" w:type="dxa"/>
            <w:vAlign w:val="center"/>
          </w:tcPr>
          <w:p w14:paraId="075356A6">
            <w:pPr>
              <w:spacing w:line="400" w:lineRule="exact"/>
              <w:jc w:val="center"/>
              <w:rPr>
                <w:rFonts w:ascii="宋体" w:hAnsi="宋体" w:cs="宋体"/>
                <w:color w:val="auto"/>
                <w:szCs w:val="21"/>
              </w:rPr>
            </w:pPr>
            <w:r>
              <w:rPr>
                <w:rFonts w:hint="eastAsia" w:ascii="宋体" w:hAnsi="宋体" w:cs="宋体"/>
                <w:color w:val="auto"/>
                <w:szCs w:val="21"/>
                <w:lang w:val="en-US" w:eastAsia="zh-CN"/>
              </w:rPr>
              <w:t>6</w:t>
            </w:r>
          </w:p>
        </w:tc>
        <w:tc>
          <w:tcPr>
            <w:tcW w:w="6336" w:type="dxa"/>
            <w:vAlign w:val="top"/>
          </w:tcPr>
          <w:p w14:paraId="3963E7BA">
            <w:pPr>
              <w:spacing w:line="400" w:lineRule="exact"/>
              <w:rPr>
                <w:rFonts w:ascii="宋体" w:hAnsi="宋体" w:cs="宋体"/>
                <w:color w:val="auto"/>
                <w:szCs w:val="21"/>
              </w:rPr>
            </w:pPr>
            <w:r>
              <w:rPr>
                <w:rFonts w:hint="eastAsia" w:ascii="宋体" w:hAnsi="宋体" w:cs="宋体"/>
                <w:color w:val="auto"/>
                <w:szCs w:val="21"/>
                <w:lang w:val="en-US" w:eastAsia="zh-CN"/>
              </w:rPr>
              <w:t>向采购人交纳</w:t>
            </w:r>
            <w:r>
              <w:rPr>
                <w:rFonts w:hint="eastAsia" w:ascii="宋体" w:hAnsi="宋体" w:cs="宋体"/>
                <w:color w:val="auto"/>
                <w:szCs w:val="21"/>
              </w:rPr>
              <w:t>场地租赁费：0.8元/度的得</w:t>
            </w:r>
            <w:r>
              <w:rPr>
                <w:rFonts w:hint="eastAsia" w:ascii="宋体" w:hAnsi="宋体" w:cs="宋体"/>
                <w:color w:val="auto"/>
                <w:szCs w:val="21"/>
                <w:lang w:val="en-US" w:eastAsia="zh-CN"/>
              </w:rPr>
              <w:t>3</w:t>
            </w:r>
            <w:r>
              <w:rPr>
                <w:rFonts w:hint="eastAsia" w:ascii="宋体" w:hAnsi="宋体" w:cs="宋体"/>
                <w:color w:val="auto"/>
                <w:szCs w:val="21"/>
              </w:rPr>
              <w:t>分，每添加0.</w:t>
            </w:r>
            <w:r>
              <w:rPr>
                <w:rFonts w:hint="eastAsia" w:ascii="宋体" w:hAnsi="宋体" w:cs="宋体"/>
                <w:color w:val="auto"/>
                <w:szCs w:val="21"/>
                <w:lang w:val="en-US" w:eastAsia="zh-CN"/>
              </w:rPr>
              <w:t>1</w:t>
            </w:r>
            <w:r>
              <w:rPr>
                <w:rFonts w:hint="eastAsia" w:ascii="宋体" w:hAnsi="宋体" w:cs="宋体"/>
                <w:color w:val="auto"/>
                <w:szCs w:val="21"/>
              </w:rPr>
              <w:t>元加</w:t>
            </w:r>
            <w:r>
              <w:rPr>
                <w:rFonts w:hint="eastAsia" w:ascii="宋体" w:hAnsi="宋体" w:cs="宋体"/>
                <w:color w:val="auto"/>
                <w:szCs w:val="21"/>
                <w:lang w:val="en-US" w:eastAsia="zh-CN"/>
              </w:rPr>
              <w:t>1.5</w:t>
            </w:r>
            <w:r>
              <w:rPr>
                <w:rFonts w:hint="eastAsia" w:ascii="宋体" w:hAnsi="宋体" w:cs="宋体"/>
                <w:color w:val="auto"/>
                <w:szCs w:val="21"/>
              </w:rPr>
              <w:t>分，最多得</w:t>
            </w:r>
            <w:r>
              <w:rPr>
                <w:rFonts w:hint="eastAsia" w:ascii="宋体" w:hAnsi="宋体" w:cs="宋体"/>
                <w:color w:val="auto"/>
                <w:szCs w:val="21"/>
                <w:lang w:val="en-US" w:eastAsia="zh-CN"/>
              </w:rPr>
              <w:t>6</w:t>
            </w:r>
            <w:r>
              <w:rPr>
                <w:rFonts w:hint="eastAsia" w:ascii="宋体" w:hAnsi="宋体" w:cs="宋体"/>
                <w:color w:val="auto"/>
                <w:szCs w:val="21"/>
              </w:rPr>
              <w:t>分。</w:t>
            </w:r>
          </w:p>
        </w:tc>
      </w:tr>
      <w:tr w14:paraId="248DD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0" w:type="dxa"/>
            <w:vMerge w:val="continue"/>
          </w:tcPr>
          <w:p w14:paraId="24A0B563">
            <w:pPr>
              <w:spacing w:line="400" w:lineRule="exact"/>
              <w:rPr>
                <w:rFonts w:ascii="宋体" w:hAnsi="宋体" w:cs="宋体"/>
                <w:color w:val="000000"/>
                <w:szCs w:val="21"/>
              </w:rPr>
            </w:pPr>
          </w:p>
        </w:tc>
        <w:tc>
          <w:tcPr>
            <w:tcW w:w="1378" w:type="dxa"/>
            <w:shd w:val="clear" w:color="auto" w:fill="auto"/>
            <w:vAlign w:val="center"/>
          </w:tcPr>
          <w:p w14:paraId="6CC4F3E4">
            <w:pPr>
              <w:spacing w:line="400" w:lineRule="exact"/>
              <w:jc w:val="center"/>
              <w:rPr>
                <w:rFonts w:ascii="宋体" w:hAnsi="宋体" w:cs="宋体"/>
                <w:color w:val="auto"/>
                <w:szCs w:val="21"/>
              </w:rPr>
            </w:pPr>
            <w:r>
              <w:rPr>
                <w:rFonts w:hint="eastAsia" w:ascii="宋体" w:hAnsi="宋体" w:cs="宋体"/>
                <w:color w:val="auto"/>
                <w:szCs w:val="21"/>
              </w:rPr>
              <w:t>人员配备</w:t>
            </w:r>
          </w:p>
        </w:tc>
        <w:tc>
          <w:tcPr>
            <w:tcW w:w="910" w:type="dxa"/>
            <w:shd w:val="clear" w:color="auto" w:fill="auto"/>
            <w:vAlign w:val="center"/>
          </w:tcPr>
          <w:p w14:paraId="2FD858D2">
            <w:pPr>
              <w:spacing w:line="400" w:lineRule="exact"/>
              <w:jc w:val="center"/>
              <w:rPr>
                <w:rFonts w:ascii="宋体" w:hAnsi="宋体" w:cs="宋体"/>
                <w:color w:val="auto"/>
                <w:szCs w:val="21"/>
              </w:rPr>
            </w:pPr>
            <w:r>
              <w:rPr>
                <w:rFonts w:hint="eastAsia" w:ascii="宋体" w:hAnsi="宋体" w:cs="宋体"/>
                <w:color w:val="auto"/>
                <w:szCs w:val="21"/>
                <w:lang w:val="en-US" w:eastAsia="zh-CN"/>
              </w:rPr>
              <w:t>6</w:t>
            </w:r>
          </w:p>
        </w:tc>
        <w:tc>
          <w:tcPr>
            <w:tcW w:w="6336" w:type="dxa"/>
            <w:shd w:val="clear" w:color="auto" w:fill="auto"/>
            <w:vAlign w:val="top"/>
          </w:tcPr>
          <w:p w14:paraId="678642B3">
            <w:pPr>
              <w:numPr>
                <w:ilvl w:val="0"/>
                <w:numId w:val="1"/>
              </w:numPr>
              <w:spacing w:line="400" w:lineRule="exact"/>
              <w:rPr>
                <w:rFonts w:ascii="宋体" w:hAnsi="宋体" w:cs="宋体"/>
                <w:color w:val="auto"/>
                <w:szCs w:val="21"/>
              </w:rPr>
            </w:pPr>
            <w:r>
              <w:rPr>
                <w:rFonts w:hint="eastAsia" w:ascii="宋体" w:hAnsi="宋体" w:cs="宋体"/>
                <w:color w:val="auto"/>
                <w:szCs w:val="21"/>
              </w:rPr>
              <w:t>拟派项目团队人员完全满足项目需要、专业配套齐全、人员结构合理的得2分，存在缺陷的得1分，未提供不得分。</w:t>
            </w:r>
          </w:p>
          <w:p w14:paraId="6CA98E62">
            <w:pPr>
              <w:spacing w:line="400" w:lineRule="exact"/>
              <w:rPr>
                <w:rFonts w:ascii="宋体" w:hAnsi="宋体" w:cs="宋体"/>
                <w:color w:val="auto"/>
                <w:szCs w:val="21"/>
              </w:rPr>
            </w:pPr>
            <w:r>
              <w:rPr>
                <w:rFonts w:hint="eastAsia" w:ascii="宋体" w:hAnsi="宋体" w:cs="宋体"/>
                <w:color w:val="auto"/>
                <w:szCs w:val="21"/>
              </w:rPr>
              <w:t>2、</w:t>
            </w:r>
            <w:r>
              <w:rPr>
                <w:rFonts w:hint="eastAsia" w:ascii="宋体" w:hAnsi="宋体" w:cs="宋体"/>
                <w:szCs w:val="21"/>
              </w:rPr>
              <w:t>拟派项目</w:t>
            </w:r>
            <w:r>
              <w:rPr>
                <w:rFonts w:hint="eastAsia" w:ascii="宋体" w:hAnsi="宋体" w:cs="宋体"/>
                <w:szCs w:val="21"/>
                <w:lang w:val="en-US" w:eastAsia="zh-CN"/>
              </w:rPr>
              <w:t>团队人员</w:t>
            </w:r>
            <w:r>
              <w:rPr>
                <w:rFonts w:hint="eastAsia" w:ascii="宋体" w:hAnsi="宋体" w:cs="宋体"/>
                <w:szCs w:val="21"/>
              </w:rPr>
              <w:t>具有</w:t>
            </w:r>
            <w:r>
              <w:rPr>
                <w:rFonts w:hint="eastAsia" w:ascii="宋体" w:hAnsi="宋体" w:cs="宋体"/>
                <w:szCs w:val="21"/>
                <w:lang w:val="en-US" w:eastAsia="zh-CN"/>
              </w:rPr>
              <w:t>与本项目相关</w:t>
            </w:r>
            <w:r>
              <w:rPr>
                <w:rFonts w:hint="eastAsia" w:ascii="宋体" w:hAnsi="宋体" w:cs="宋体"/>
                <w:szCs w:val="21"/>
              </w:rPr>
              <w:t>的工程师证书</w:t>
            </w:r>
            <w:r>
              <w:rPr>
                <w:rFonts w:hint="eastAsia" w:ascii="宋体" w:hAnsi="宋体" w:cs="宋体"/>
                <w:szCs w:val="21"/>
                <w:lang w:eastAsia="zh-CN"/>
              </w:rPr>
              <w:t>（</w:t>
            </w:r>
            <w:r>
              <w:rPr>
                <w:rFonts w:hint="eastAsia" w:ascii="宋体" w:hAnsi="宋体" w:cs="宋体"/>
                <w:szCs w:val="21"/>
                <w:lang w:val="en-US" w:eastAsia="zh-CN"/>
              </w:rPr>
              <w:t>包含但不限于</w:t>
            </w:r>
            <w:r>
              <w:rPr>
                <w:rFonts w:hint="eastAsia" w:ascii="宋体" w:hAnsi="宋体" w:cs="宋体"/>
                <w:szCs w:val="21"/>
              </w:rPr>
              <w:t>弱电系统</w:t>
            </w:r>
            <w:r>
              <w:rPr>
                <w:rFonts w:hint="eastAsia" w:ascii="宋体" w:hAnsi="宋体" w:cs="宋体"/>
                <w:szCs w:val="21"/>
                <w:lang w:eastAsia="zh-CN"/>
              </w:rPr>
              <w:t>、</w:t>
            </w:r>
            <w:r>
              <w:rPr>
                <w:rFonts w:hint="eastAsia" w:ascii="宋体" w:hAnsi="宋体" w:cs="宋体"/>
                <w:szCs w:val="21"/>
                <w:lang w:val="en-US" w:eastAsia="zh-CN"/>
              </w:rPr>
              <w:t>物联网技术等</w:t>
            </w:r>
            <w:r>
              <w:rPr>
                <w:rFonts w:hint="eastAsia" w:ascii="宋体" w:hAnsi="宋体" w:cs="宋体"/>
                <w:szCs w:val="21"/>
                <w:lang w:eastAsia="zh-CN"/>
              </w:rPr>
              <w:t>），</w:t>
            </w:r>
            <w:r>
              <w:rPr>
                <w:rFonts w:hint="eastAsia" w:ascii="宋体" w:hAnsi="宋体" w:cs="宋体"/>
                <w:szCs w:val="21"/>
                <w:lang w:val="en-US" w:eastAsia="zh-CN"/>
              </w:rPr>
              <w:t>每提供一个得1分，最多</w:t>
            </w:r>
            <w:r>
              <w:rPr>
                <w:rFonts w:hint="eastAsia" w:ascii="宋体" w:hAnsi="宋体" w:cs="宋体"/>
                <w:szCs w:val="21"/>
              </w:rPr>
              <w:t>得2分，未提供不得分。</w:t>
            </w:r>
          </w:p>
          <w:p w14:paraId="0CE9D17C">
            <w:pPr>
              <w:spacing w:line="400" w:lineRule="exact"/>
              <w:rPr>
                <w:rFonts w:ascii="宋体" w:hAnsi="宋体" w:cs="宋体"/>
                <w:color w:val="auto"/>
                <w:szCs w:val="21"/>
              </w:rPr>
            </w:pPr>
            <w:r>
              <w:rPr>
                <w:rFonts w:hint="eastAsia" w:ascii="宋体" w:hAnsi="宋体" w:cs="宋体"/>
                <w:color w:val="auto"/>
                <w:szCs w:val="21"/>
                <w:lang w:val="en-US" w:eastAsia="zh-CN"/>
              </w:rPr>
              <w:t>3</w:t>
            </w:r>
            <w:r>
              <w:rPr>
                <w:rFonts w:hint="eastAsia" w:ascii="宋体" w:hAnsi="宋体" w:cs="宋体"/>
                <w:color w:val="auto"/>
                <w:szCs w:val="21"/>
              </w:rPr>
              <w:t>、项目团队人员有具有电工证的，每个得1分，本项最高得2分。</w:t>
            </w:r>
          </w:p>
          <w:p w14:paraId="3C7706CB">
            <w:pPr>
              <w:spacing w:line="400" w:lineRule="exact"/>
              <w:rPr>
                <w:rFonts w:hint="eastAsia" w:ascii="宋体" w:hAnsi="宋体" w:cs="宋体"/>
                <w:color w:val="auto"/>
                <w:szCs w:val="21"/>
              </w:rPr>
            </w:pPr>
            <w:r>
              <w:rPr>
                <w:rFonts w:hint="eastAsia" w:ascii="宋体" w:hAnsi="宋体" w:cs="宋体"/>
                <w:color w:val="auto"/>
                <w:szCs w:val="21"/>
              </w:rPr>
              <w:t>（提供人员证书/官网查询截图、劳动合同和2026年1月以来任意1个月社保证明材，同一人提供多证的只计一证分）。</w:t>
            </w:r>
          </w:p>
        </w:tc>
      </w:tr>
      <w:tr w14:paraId="5C8281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08" w:type="dxa"/>
            <w:gridSpan w:val="2"/>
          </w:tcPr>
          <w:p w14:paraId="3EEB74DE">
            <w:pPr>
              <w:spacing w:line="400" w:lineRule="exact"/>
              <w:jc w:val="center"/>
              <w:rPr>
                <w:rFonts w:ascii="宋体" w:hAnsi="宋体" w:cs="宋体"/>
                <w:color w:val="000000"/>
                <w:szCs w:val="21"/>
              </w:rPr>
            </w:pPr>
            <w:r>
              <w:rPr>
                <w:rFonts w:hint="eastAsia" w:ascii="宋体" w:hAnsi="宋体" w:cs="宋体"/>
                <w:color w:val="000000"/>
                <w:szCs w:val="21"/>
              </w:rPr>
              <w:t>合计</w:t>
            </w:r>
          </w:p>
        </w:tc>
        <w:tc>
          <w:tcPr>
            <w:tcW w:w="910" w:type="dxa"/>
            <w:shd w:val="clear" w:color="auto" w:fill="auto"/>
            <w:vAlign w:val="center"/>
          </w:tcPr>
          <w:p w14:paraId="5774A84C">
            <w:pPr>
              <w:spacing w:line="400" w:lineRule="exact"/>
              <w:jc w:val="center"/>
              <w:rPr>
                <w:rFonts w:ascii="宋体" w:hAnsi="宋体" w:cs="宋体"/>
                <w:color w:val="000000"/>
                <w:szCs w:val="21"/>
              </w:rPr>
            </w:pPr>
            <w:r>
              <w:rPr>
                <w:rFonts w:hint="eastAsia" w:ascii="宋体" w:hAnsi="宋体" w:cs="宋体"/>
                <w:color w:val="000000"/>
                <w:szCs w:val="21"/>
              </w:rPr>
              <w:t>1</w:t>
            </w:r>
            <w:r>
              <w:rPr>
                <w:rFonts w:ascii="宋体" w:hAnsi="宋体" w:cs="宋体"/>
                <w:color w:val="000000"/>
                <w:szCs w:val="21"/>
              </w:rPr>
              <w:t>00</w:t>
            </w:r>
          </w:p>
        </w:tc>
        <w:tc>
          <w:tcPr>
            <w:tcW w:w="6336" w:type="dxa"/>
            <w:shd w:val="clear" w:color="auto" w:fill="auto"/>
          </w:tcPr>
          <w:p w14:paraId="49D3BB3A">
            <w:pPr>
              <w:spacing w:line="400" w:lineRule="exact"/>
              <w:rPr>
                <w:rFonts w:ascii="宋体" w:hAnsi="宋体" w:cs="宋体"/>
                <w:color w:val="000000"/>
                <w:szCs w:val="21"/>
              </w:rPr>
            </w:pPr>
          </w:p>
        </w:tc>
      </w:tr>
    </w:tbl>
    <w:p w14:paraId="0F8F8930">
      <w:pPr>
        <w:spacing w:line="440" w:lineRule="exact"/>
        <w:ind w:firstLine="420" w:firstLineChars="20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AAEE4C"/>
    <w:multiLevelType w:val="singleLevel"/>
    <w:tmpl w:val="97AAEE4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CF3256"/>
    <w:rsid w:val="081E2DF6"/>
    <w:rsid w:val="116206CB"/>
    <w:rsid w:val="11EC677A"/>
    <w:rsid w:val="16AF54D8"/>
    <w:rsid w:val="1E462FF8"/>
    <w:rsid w:val="27C546B8"/>
    <w:rsid w:val="2C8763E0"/>
    <w:rsid w:val="2C9B4E91"/>
    <w:rsid w:val="2ED81174"/>
    <w:rsid w:val="2EF1198D"/>
    <w:rsid w:val="2F7816ED"/>
    <w:rsid w:val="36205317"/>
    <w:rsid w:val="380A7131"/>
    <w:rsid w:val="39F868D1"/>
    <w:rsid w:val="3B2C4D22"/>
    <w:rsid w:val="3D6A2F8A"/>
    <w:rsid w:val="40B24EB7"/>
    <w:rsid w:val="444C5A9A"/>
    <w:rsid w:val="44F85C75"/>
    <w:rsid w:val="457A5FDF"/>
    <w:rsid w:val="4B984F8D"/>
    <w:rsid w:val="4F4E62C7"/>
    <w:rsid w:val="53800B70"/>
    <w:rsid w:val="5B8F0C89"/>
    <w:rsid w:val="63CD4CA3"/>
    <w:rsid w:val="642910BC"/>
    <w:rsid w:val="64CB27C0"/>
    <w:rsid w:val="68272B1B"/>
    <w:rsid w:val="79BE4FFB"/>
    <w:rsid w:val="7B815275"/>
    <w:rsid w:val="7BF00E78"/>
    <w:rsid w:val="7C4F41EB"/>
    <w:rsid w:val="7FEC606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line="500" w:lineRule="exact"/>
      <w:jc w:val="center"/>
      <w:outlineLvl w:val="0"/>
    </w:pPr>
    <w:rPr>
      <w:b/>
      <w:bCs/>
      <w:kern w:val="44"/>
      <w:sz w:val="28"/>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0"/>
    <w:pPr>
      <w:ind w:firstLine="420"/>
    </w:pPr>
    <w:rPr>
      <w:szCs w:val="20"/>
    </w:rPr>
  </w:style>
  <w:style w:type="paragraph" w:styleId="4">
    <w:name w:val="Normal (Web)"/>
    <w:basedOn w:val="1"/>
    <w:qFormat/>
    <w:uiPriority w:val="0"/>
    <w:pPr>
      <w:spacing w:before="100" w:beforeAutospacing="1" w:after="100" w:afterAutospacing="1"/>
      <w:jc w:val="left"/>
    </w:pPr>
    <w:rPr>
      <w:kern w:val="0"/>
      <w:sz w:val="24"/>
    </w:rPr>
  </w:style>
  <w:style w:type="paragraph" w:customStyle="1" w:styleId="7">
    <w:name w:val="段"/>
    <w:next w:val="1"/>
    <w:qFormat/>
    <w:uiPriority w:val="99"/>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Pages>
  <Words>5941</Words>
  <Characters>6212</Characters>
  <Lines>0</Lines>
  <Paragraphs>0</Paragraphs>
  <TotalTime>17</TotalTime>
  <ScaleCrop>false</ScaleCrop>
  <LinksUpToDate>false</LinksUpToDate>
  <CharactersWithSpaces>6257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2026-07-15T02:46:00Z</dcterms:created>
  <dc:creator>Administrator</dc:creator>
  <cp:lastModifiedBy>国采苏老师</cp:lastModifiedBy>
  <dcterms:modified xsi:type="dcterms:W3CDTF">2026-07-28T05:26:12Z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eyJoZGlkIjoiMmFmOTk2NmJhYzA2YWVjYWRmYjQ5MDdlMzFjMTc0MDciLCJ1c2VySWQiOiIxNTY4Mzc4NDU3In0=</vt:lpwstr>
  </property>
  <property fmtid="{D5CDD505-2E9C-101B-9397-08002B2CF9AE}" pid="4" name="ICV">
    <vt:lpwstr>357FED4152764A5B811F0B1F226C5617_13</vt:lpwstr>
  </property>
</Properties>
</file>